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D26" w:rsidRDefault="004B5F3D" w:rsidP="00A13D26">
      <w:pPr>
        <w:spacing w:line="360" w:lineRule="auto"/>
        <w:ind w:firstLine="1418"/>
        <w:jc w:val="both"/>
      </w:pPr>
      <w:r>
        <w:t xml:space="preserve">Buenos Aires </w:t>
      </w:r>
      <w:r w:rsidR="00130B55">
        <w:t>11</w:t>
      </w:r>
      <w:r w:rsidR="0007264D">
        <w:t xml:space="preserve"> de </w:t>
      </w:r>
      <w:r w:rsidR="00431781">
        <w:t>junio</w:t>
      </w:r>
      <w:r w:rsidR="000F2150">
        <w:t xml:space="preserve"> de 202</w:t>
      </w:r>
      <w:r w:rsidR="00FC47DD">
        <w:t>6</w:t>
      </w:r>
      <w:r w:rsidR="006460E3">
        <w:t>.</w:t>
      </w:r>
    </w:p>
    <w:p w:rsidR="00A13D26" w:rsidRDefault="00A13D26" w:rsidP="00A13D26">
      <w:pPr>
        <w:spacing w:line="360" w:lineRule="auto"/>
        <w:jc w:val="both"/>
      </w:pPr>
      <w:r>
        <w:tab/>
        <w:t>Vistos los autos: "Recurso de hecho deducido por L. A. R. A. en la causa R. Á., L. A. s/ queja", par</w:t>
      </w:r>
      <w:r>
        <w:t>a decidir sobre su procedencia.</w:t>
      </w:r>
    </w:p>
    <w:p w:rsidR="00A13D26" w:rsidRDefault="00A13D26" w:rsidP="00A13D26">
      <w:pPr>
        <w:spacing w:line="360" w:lineRule="auto"/>
        <w:jc w:val="both"/>
      </w:pPr>
      <w:r>
        <w:tab/>
      </w:r>
      <w:r>
        <w:t>Considerando:</w:t>
      </w:r>
    </w:p>
    <w:p w:rsidR="00A13D26" w:rsidRDefault="00A13D26" w:rsidP="00A13D26">
      <w:pPr>
        <w:spacing w:line="360" w:lineRule="auto"/>
        <w:jc w:val="both"/>
      </w:pPr>
      <w:r>
        <w:tab/>
      </w:r>
      <w:r>
        <w:tab/>
        <w:t>Que, en cuanto a la oportuna interposición del recurso extraordinario federal, corresponde computarla desde el momento en que la defensa fue autorizada a tener acceso virtual al expediente, ello por aplicación, mutatis mutandis, de lo decidido en la causa CSJ 647/2015/RH1 “</w:t>
      </w:r>
      <w:proofErr w:type="spellStart"/>
      <w:r>
        <w:t>Dielma</w:t>
      </w:r>
      <w:proofErr w:type="spellEnd"/>
      <w:r>
        <w:t xml:space="preserve">, Carlos Marcos s/ homicidio simple”, sentencia del 24 de abril de 2018, a cuyos fundamentos y conclusiones corresponde </w:t>
      </w:r>
      <w:r>
        <w:t>remitirse en razón de brevedad.</w:t>
      </w:r>
    </w:p>
    <w:p w:rsidR="00A13D26" w:rsidRDefault="00A13D26" w:rsidP="00A13D26">
      <w:pPr>
        <w:spacing w:line="360" w:lineRule="auto"/>
        <w:jc w:val="both"/>
      </w:pPr>
      <w:r>
        <w:tab/>
      </w:r>
      <w:r>
        <w:tab/>
        <w:t>Que una vez superada la cuestión relativa a la tempestividad del remedio, cabe señalar que el recurso extraordinario, cuya denegación originó esta queja, es inadmisible (art. 280 del Código Procesal C</w:t>
      </w:r>
      <w:r>
        <w:t>ivil y Comercial de la Nación).</w:t>
      </w:r>
    </w:p>
    <w:p w:rsidR="00B64A5A" w:rsidRDefault="00A13D26" w:rsidP="00A13D26">
      <w:pPr>
        <w:spacing w:line="360" w:lineRule="auto"/>
        <w:jc w:val="both"/>
      </w:pPr>
      <w:r>
        <w:tab/>
        <w:t>Por ello, se desestima la presentación directa. Intímese a la parte recurrente a que, dentro del quinto día de notificada, acompañe copia de la resolución que concede el beneficio de litigar sin gastos o efectúe el depósito que dispone el art. 286 del código citado, a disposición del Tribunal, bajo apercibimiento de ejecución. Notifíquese y, oportunamente, archívese.</w:t>
      </w:r>
    </w:p>
    <w:p w:rsidR="00A13D26" w:rsidRDefault="00A13D26" w:rsidP="00A13D26">
      <w:pPr>
        <w:jc w:val="both"/>
      </w:pPr>
      <w:r>
        <w:t xml:space="preserve">Horacio Rosatti - Carlos Fernando Rosenkrantz – </w:t>
      </w:r>
      <w:r>
        <w:t>Ricardo Luis Lorenzetti</w:t>
      </w:r>
      <w:r w:rsidRPr="00A13D26">
        <w:t xml:space="preserve"> </w:t>
      </w:r>
      <w:r>
        <w:t>(según su voto)</w:t>
      </w:r>
      <w:r>
        <w:t>.</w:t>
      </w:r>
    </w:p>
    <w:p w:rsidR="00A13D26" w:rsidRDefault="00A13D26" w:rsidP="00A13D26">
      <w:pPr>
        <w:spacing w:line="360" w:lineRule="auto"/>
        <w:jc w:val="center"/>
      </w:pPr>
      <w:r>
        <w:t>Voto del Señor Ministro Doctor Don Ricardo Luis Lorenzetti</w:t>
      </w:r>
    </w:p>
    <w:p w:rsidR="00A13D26" w:rsidRDefault="00A13D26" w:rsidP="00A13D26">
      <w:pPr>
        <w:spacing w:line="360" w:lineRule="auto"/>
        <w:jc w:val="both"/>
      </w:pPr>
      <w:r>
        <w:tab/>
        <w:t>Considerando:</w:t>
      </w:r>
    </w:p>
    <w:p w:rsidR="00A13D26" w:rsidRDefault="00A13D26" w:rsidP="00A13D26">
      <w:pPr>
        <w:spacing w:line="360" w:lineRule="auto"/>
        <w:jc w:val="both"/>
      </w:pPr>
      <w:r>
        <w:tab/>
      </w:r>
      <w:r>
        <w:tab/>
        <w:t xml:space="preserve">Que, en cuanto a la oportuna interposición del recurso extraordinario federal, corresponde computarla desde el momento en que la defensa fue autorizada a tener acceso virtual al </w:t>
      </w:r>
      <w:r>
        <w:lastRenderedPageBreak/>
        <w:t xml:space="preserve">expediente, ello por aplicación, </w:t>
      </w:r>
      <w:r w:rsidRPr="00432E86">
        <w:rPr>
          <w:i/>
        </w:rPr>
        <w:t>mutatis mutandis</w:t>
      </w:r>
      <w:r>
        <w:t>, de lo decidido en la causa CSJ 647/2015/RH1 “</w:t>
      </w:r>
      <w:proofErr w:type="spellStart"/>
      <w:r>
        <w:t>Dielma</w:t>
      </w:r>
      <w:proofErr w:type="spellEnd"/>
      <w:r>
        <w:t xml:space="preserve">, Carlos Marcos s/ homicidio simple”, sentencia del 24 de abril de 2018, a cuyos fundamentos y conclusiones corresponde </w:t>
      </w:r>
      <w:r>
        <w:t>remitirse en razón de brevedad.</w:t>
      </w:r>
    </w:p>
    <w:p w:rsidR="00A13D26" w:rsidRDefault="00A13D26" w:rsidP="00A13D26">
      <w:pPr>
        <w:spacing w:line="360" w:lineRule="auto"/>
        <w:jc w:val="both"/>
      </w:pPr>
      <w:r>
        <w:tab/>
      </w:r>
      <w:r>
        <w:tab/>
        <w:t>Que una vez superada la cuestión relativa a la tempestividad del remedio, cabe señalar que el recurso extraordinario, cuya denegación originó esta queja, es inadmisible (art. 280 del Código Procesal C</w:t>
      </w:r>
      <w:r>
        <w:t>ivil y Comercial de la Nación).</w:t>
      </w:r>
    </w:p>
    <w:p w:rsidR="00A13D26" w:rsidRDefault="00A13D26" w:rsidP="00A13D26">
      <w:pPr>
        <w:spacing w:line="360" w:lineRule="auto"/>
        <w:jc w:val="both"/>
      </w:pPr>
      <w:r>
        <w:tab/>
      </w:r>
      <w:r>
        <w:tab/>
        <w:t xml:space="preserve">Que </w:t>
      </w:r>
      <w:bookmarkStart w:id="0" w:name="_GoBack"/>
      <w:r w:rsidRPr="00432E86">
        <w:rPr>
          <w:i/>
        </w:rPr>
        <w:t>“...cabe poner de relieve -a fin de evitar interpretaciones erróneas acerca del alcance de los fallos de la Corte Suprema- que la desestimación de un recurso extraordinario mediante la aplicación de dicha norma no importa confirmar ni afirmar la justicia o el acierto de la decisión recurrida...”</w:t>
      </w:r>
      <w:r>
        <w:t xml:space="preserve"> </w:t>
      </w:r>
      <w:bookmarkEnd w:id="0"/>
      <w:r>
        <w:t xml:space="preserve">(conf. </w:t>
      </w:r>
      <w:proofErr w:type="gramStart"/>
      <w:r>
        <w:t>causa</w:t>
      </w:r>
      <w:proofErr w:type="gramEnd"/>
      <w:r>
        <w:t xml:space="preserve"> “Vidal”, Fallos: 344:3156, suscripta por los jueces Rosatti, Maqueda, </w:t>
      </w:r>
      <w:proofErr w:type="spellStart"/>
      <w:r>
        <w:t>Highto</w:t>
      </w:r>
      <w:r>
        <w:t>n</w:t>
      </w:r>
      <w:proofErr w:type="spellEnd"/>
      <w:r>
        <w:t xml:space="preserve"> de Nolasco y Lorenzetti).</w:t>
      </w:r>
    </w:p>
    <w:p w:rsidR="00A13D26" w:rsidRPr="00A13D26" w:rsidRDefault="00A13D26" w:rsidP="00A13D26">
      <w:pPr>
        <w:spacing w:line="360" w:lineRule="auto"/>
        <w:jc w:val="both"/>
      </w:pPr>
      <w:r>
        <w:tab/>
        <w:t>Por ello, se desestima la presentación directa. Intímese a la parte recurrente a que, dentro del quinto día de notificada, acompañe copia de la resolución que concede el beneficio de litigar sin gastos o efectúe el depósito que dispone el art. 286 del código citado, a disposición del Tribunal, bajo apercibimiento de ejecución. Notifíquese y, oportunamente, archívese.</w:t>
      </w:r>
    </w:p>
    <w:p w:rsidR="00A13D26" w:rsidRDefault="00A13D26">
      <w:pPr>
        <w:spacing w:line="360" w:lineRule="auto"/>
        <w:jc w:val="both"/>
      </w:pPr>
      <w:r>
        <w:t>Ricardo Luis Lorenzetti</w:t>
      </w:r>
      <w:r>
        <w:t>.</w:t>
      </w:r>
    </w:p>
    <w:p w:rsidR="00A13D26" w:rsidRPr="00A13D26" w:rsidRDefault="00A13D26" w:rsidP="00A13D26">
      <w:pPr>
        <w:spacing w:line="240" w:lineRule="auto"/>
        <w:jc w:val="both"/>
        <w:rPr>
          <w:sz w:val="18"/>
          <w:szCs w:val="18"/>
        </w:rPr>
      </w:pPr>
      <w:r w:rsidRPr="00A13D26">
        <w:rPr>
          <w:sz w:val="18"/>
          <w:szCs w:val="18"/>
        </w:rPr>
        <w:t xml:space="preserve">Recurso de queja interpuesto por </w:t>
      </w:r>
      <w:r w:rsidRPr="00A13D26">
        <w:rPr>
          <w:b/>
          <w:sz w:val="18"/>
          <w:szCs w:val="18"/>
        </w:rPr>
        <w:t>L. A. R. Á.</w:t>
      </w:r>
      <w:r w:rsidRPr="00A13D26">
        <w:rPr>
          <w:sz w:val="18"/>
          <w:szCs w:val="18"/>
        </w:rPr>
        <w:t xml:space="preserve">, asistido por la </w:t>
      </w:r>
      <w:r w:rsidRPr="00A13D26">
        <w:rPr>
          <w:b/>
          <w:sz w:val="18"/>
          <w:szCs w:val="18"/>
        </w:rPr>
        <w:t xml:space="preserve">Dra. Ana Julia </w:t>
      </w:r>
      <w:proofErr w:type="spellStart"/>
      <w:r w:rsidRPr="00A13D26">
        <w:rPr>
          <w:b/>
          <w:sz w:val="18"/>
          <w:szCs w:val="18"/>
        </w:rPr>
        <w:t>Biasotti</w:t>
      </w:r>
      <w:proofErr w:type="spellEnd"/>
      <w:r w:rsidRPr="00A13D26">
        <w:rPr>
          <w:b/>
          <w:sz w:val="18"/>
          <w:szCs w:val="18"/>
        </w:rPr>
        <w:t>, Defensora Oficial Adjunta interinamente a cargo de la Defensoría de Casación Penal de la Provincia de Buenos Aires</w:t>
      </w:r>
      <w:r w:rsidRPr="00A13D26">
        <w:rPr>
          <w:sz w:val="18"/>
          <w:szCs w:val="18"/>
        </w:rPr>
        <w:t>.</w:t>
      </w:r>
    </w:p>
    <w:p w:rsidR="00A13D26" w:rsidRPr="00A13D26" w:rsidRDefault="00A13D26" w:rsidP="00A13D26">
      <w:pPr>
        <w:spacing w:line="240" w:lineRule="auto"/>
        <w:jc w:val="both"/>
        <w:rPr>
          <w:sz w:val="18"/>
          <w:szCs w:val="18"/>
        </w:rPr>
      </w:pPr>
      <w:r w:rsidRPr="00A13D26">
        <w:rPr>
          <w:sz w:val="18"/>
          <w:szCs w:val="18"/>
        </w:rPr>
        <w:t xml:space="preserve">Tribunal de origen: </w:t>
      </w:r>
      <w:r w:rsidRPr="00A13D26">
        <w:rPr>
          <w:b/>
          <w:sz w:val="18"/>
          <w:szCs w:val="18"/>
        </w:rPr>
        <w:t>Suprema Corte de Justicia de la Provincia de Buenos Aires</w:t>
      </w:r>
      <w:r w:rsidRPr="00A13D26">
        <w:rPr>
          <w:sz w:val="18"/>
          <w:szCs w:val="18"/>
        </w:rPr>
        <w:t>.</w:t>
      </w:r>
    </w:p>
    <w:p w:rsidR="00A13D26" w:rsidRPr="00A13D26" w:rsidRDefault="00A13D26" w:rsidP="00A13D26">
      <w:pPr>
        <w:spacing w:line="240" w:lineRule="auto"/>
        <w:jc w:val="both"/>
        <w:rPr>
          <w:sz w:val="18"/>
          <w:szCs w:val="18"/>
        </w:rPr>
      </w:pPr>
      <w:r w:rsidRPr="00A13D26">
        <w:rPr>
          <w:sz w:val="18"/>
          <w:szCs w:val="18"/>
        </w:rPr>
        <w:t xml:space="preserve">Tribunal que intervino con anterioridad: </w:t>
      </w:r>
      <w:r w:rsidRPr="00A13D26">
        <w:rPr>
          <w:b/>
          <w:sz w:val="18"/>
          <w:szCs w:val="18"/>
        </w:rPr>
        <w:t>Sala II del Tribunal de Casación Penal</w:t>
      </w:r>
      <w:r w:rsidRPr="00A13D26">
        <w:rPr>
          <w:sz w:val="18"/>
          <w:szCs w:val="18"/>
        </w:rPr>
        <w:t>.</w:t>
      </w:r>
    </w:p>
    <w:sectPr w:rsidR="00A13D26" w:rsidRPr="00A13D26" w:rsidSect="000314E8">
      <w:headerReference w:type="default" r:id="rId8"/>
      <w:footnotePr>
        <w:pos w:val="beneathText"/>
      </w:footnotePr>
      <w:pgSz w:w="11907" w:h="16839" w:code="9"/>
      <w:pgMar w:top="2787" w:right="1134" w:bottom="1418" w:left="2268" w:header="709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5549" w:rsidRDefault="00D15549">
      <w:r>
        <w:separator/>
      </w:r>
    </w:p>
  </w:endnote>
  <w:endnote w:type="continuationSeparator" w:id="0">
    <w:p w:rsidR="00D15549" w:rsidRDefault="00D15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5549" w:rsidRDefault="00D15549">
      <w:r>
        <w:separator/>
      </w:r>
    </w:p>
  </w:footnote>
  <w:footnote w:type="continuationSeparator" w:id="0">
    <w:p w:rsidR="00D15549" w:rsidRDefault="00D155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D26" w:rsidRPr="00A13D26" w:rsidRDefault="00A13D26" w:rsidP="00A13D26">
    <w:pPr>
      <w:pStyle w:val="Encabezado"/>
      <w:ind w:left="3828"/>
      <w:jc w:val="both"/>
      <w:rPr>
        <w:rFonts w:ascii="Courier New" w:hAnsi="Courier New" w:cs="Courier New"/>
        <w:sz w:val="16"/>
        <w:lang w:val="es-MX"/>
      </w:rPr>
    </w:pPr>
    <w:r w:rsidRPr="00A13D26">
      <w:rPr>
        <w:rFonts w:ascii="Courier New" w:hAnsi="Courier New" w:cs="Courier New"/>
        <w:sz w:val="16"/>
        <w:lang w:val="es-MX"/>
      </w:rPr>
      <w:t>CSJ 1346/2024/RH1</w:t>
    </w:r>
  </w:p>
  <w:p w:rsidR="00563DAE" w:rsidRDefault="00A13D26" w:rsidP="00A13D26">
    <w:pPr>
      <w:pStyle w:val="Encabezado"/>
      <w:ind w:left="3828"/>
      <w:jc w:val="both"/>
      <w:rPr>
        <w:rFonts w:ascii="Courier New" w:hAnsi="Courier New" w:cs="Courier New"/>
        <w:sz w:val="16"/>
        <w:lang w:val="es-MX"/>
      </w:rPr>
    </w:pPr>
    <w:r w:rsidRPr="00A13D26">
      <w:rPr>
        <w:rFonts w:ascii="Courier New" w:hAnsi="Courier New" w:cs="Courier New"/>
        <w:sz w:val="16"/>
        <w:lang w:val="es-MX"/>
      </w:rPr>
      <w:t>R. Á., L. A. s/ queja.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463"/>
    <w:rsid w:val="00001C26"/>
    <w:rsid w:val="00001E2A"/>
    <w:rsid w:val="000022AF"/>
    <w:rsid w:val="000056D9"/>
    <w:rsid w:val="000058E6"/>
    <w:rsid w:val="00006ED4"/>
    <w:rsid w:val="00007A93"/>
    <w:rsid w:val="00007EA6"/>
    <w:rsid w:val="00014420"/>
    <w:rsid w:val="00017357"/>
    <w:rsid w:val="00023838"/>
    <w:rsid w:val="00023A19"/>
    <w:rsid w:val="00027DCF"/>
    <w:rsid w:val="00027E8E"/>
    <w:rsid w:val="00027F74"/>
    <w:rsid w:val="0003087C"/>
    <w:rsid w:val="000314E8"/>
    <w:rsid w:val="00031F88"/>
    <w:rsid w:val="00034CFD"/>
    <w:rsid w:val="00041F14"/>
    <w:rsid w:val="00043C34"/>
    <w:rsid w:val="00043FAF"/>
    <w:rsid w:val="00053521"/>
    <w:rsid w:val="00053CB8"/>
    <w:rsid w:val="0005770C"/>
    <w:rsid w:val="000634AB"/>
    <w:rsid w:val="0006567E"/>
    <w:rsid w:val="000665FB"/>
    <w:rsid w:val="00066CEB"/>
    <w:rsid w:val="00066D41"/>
    <w:rsid w:val="00067FD9"/>
    <w:rsid w:val="0007264D"/>
    <w:rsid w:val="000764A0"/>
    <w:rsid w:val="00077E73"/>
    <w:rsid w:val="000800D8"/>
    <w:rsid w:val="000806C5"/>
    <w:rsid w:val="00082825"/>
    <w:rsid w:val="00083AD1"/>
    <w:rsid w:val="00083E5F"/>
    <w:rsid w:val="0008622B"/>
    <w:rsid w:val="00092EB6"/>
    <w:rsid w:val="000A005D"/>
    <w:rsid w:val="000A5AD5"/>
    <w:rsid w:val="000B0FBE"/>
    <w:rsid w:val="000B2FB7"/>
    <w:rsid w:val="000B5346"/>
    <w:rsid w:val="000B575D"/>
    <w:rsid w:val="000B74F8"/>
    <w:rsid w:val="000C08EF"/>
    <w:rsid w:val="000C0928"/>
    <w:rsid w:val="000C52D9"/>
    <w:rsid w:val="000C639A"/>
    <w:rsid w:val="000D5DA6"/>
    <w:rsid w:val="000D648D"/>
    <w:rsid w:val="000E2498"/>
    <w:rsid w:val="000E2F00"/>
    <w:rsid w:val="000E71B7"/>
    <w:rsid w:val="000F2150"/>
    <w:rsid w:val="000F4055"/>
    <w:rsid w:val="000F7A41"/>
    <w:rsid w:val="00100647"/>
    <w:rsid w:val="00105729"/>
    <w:rsid w:val="0010708C"/>
    <w:rsid w:val="0011260E"/>
    <w:rsid w:val="00116CFF"/>
    <w:rsid w:val="00121B28"/>
    <w:rsid w:val="00126385"/>
    <w:rsid w:val="00130B55"/>
    <w:rsid w:val="00133289"/>
    <w:rsid w:val="0013427A"/>
    <w:rsid w:val="00134790"/>
    <w:rsid w:val="00136140"/>
    <w:rsid w:val="00152A6D"/>
    <w:rsid w:val="00155531"/>
    <w:rsid w:val="00155561"/>
    <w:rsid w:val="00157397"/>
    <w:rsid w:val="00161E04"/>
    <w:rsid w:val="00163100"/>
    <w:rsid w:val="00163770"/>
    <w:rsid w:val="0017132C"/>
    <w:rsid w:val="00171CFC"/>
    <w:rsid w:val="00172950"/>
    <w:rsid w:val="001762CB"/>
    <w:rsid w:val="00177601"/>
    <w:rsid w:val="001777C8"/>
    <w:rsid w:val="00180D2E"/>
    <w:rsid w:val="00181E16"/>
    <w:rsid w:val="00187B37"/>
    <w:rsid w:val="00192356"/>
    <w:rsid w:val="0019598D"/>
    <w:rsid w:val="001A4F06"/>
    <w:rsid w:val="001B1194"/>
    <w:rsid w:val="001B5AEB"/>
    <w:rsid w:val="001C2677"/>
    <w:rsid w:val="001C4084"/>
    <w:rsid w:val="001D0B0E"/>
    <w:rsid w:val="001D229E"/>
    <w:rsid w:val="001D27B3"/>
    <w:rsid w:val="001E3FB6"/>
    <w:rsid w:val="001F6190"/>
    <w:rsid w:val="001F631A"/>
    <w:rsid w:val="001F6AE6"/>
    <w:rsid w:val="00203DDD"/>
    <w:rsid w:val="0021226D"/>
    <w:rsid w:val="00212F0D"/>
    <w:rsid w:val="0021358F"/>
    <w:rsid w:val="00214568"/>
    <w:rsid w:val="002160CD"/>
    <w:rsid w:val="00216821"/>
    <w:rsid w:val="00220FC0"/>
    <w:rsid w:val="00221C61"/>
    <w:rsid w:val="002234F9"/>
    <w:rsid w:val="0022421D"/>
    <w:rsid w:val="00236438"/>
    <w:rsid w:val="002437FE"/>
    <w:rsid w:val="00243A15"/>
    <w:rsid w:val="00252ED5"/>
    <w:rsid w:val="00254690"/>
    <w:rsid w:val="00256B88"/>
    <w:rsid w:val="0026505F"/>
    <w:rsid w:val="002726E6"/>
    <w:rsid w:val="0027387A"/>
    <w:rsid w:val="0027465C"/>
    <w:rsid w:val="002757FC"/>
    <w:rsid w:val="00275904"/>
    <w:rsid w:val="00277122"/>
    <w:rsid w:val="002805F5"/>
    <w:rsid w:val="00281396"/>
    <w:rsid w:val="00287211"/>
    <w:rsid w:val="00296433"/>
    <w:rsid w:val="002A0A82"/>
    <w:rsid w:val="002B0EAD"/>
    <w:rsid w:val="002B7840"/>
    <w:rsid w:val="002C07A5"/>
    <w:rsid w:val="002C2B8A"/>
    <w:rsid w:val="002C3463"/>
    <w:rsid w:val="002D3A2D"/>
    <w:rsid w:val="002D4824"/>
    <w:rsid w:val="002E2EBB"/>
    <w:rsid w:val="002E53F6"/>
    <w:rsid w:val="002F5C7A"/>
    <w:rsid w:val="003002B8"/>
    <w:rsid w:val="00305E25"/>
    <w:rsid w:val="003060D9"/>
    <w:rsid w:val="003119C1"/>
    <w:rsid w:val="0031301E"/>
    <w:rsid w:val="00313541"/>
    <w:rsid w:val="00314FF6"/>
    <w:rsid w:val="00320022"/>
    <w:rsid w:val="00321077"/>
    <w:rsid w:val="003228A4"/>
    <w:rsid w:val="003266AB"/>
    <w:rsid w:val="00332132"/>
    <w:rsid w:val="00340EF7"/>
    <w:rsid w:val="00343CCB"/>
    <w:rsid w:val="0034620B"/>
    <w:rsid w:val="00355D14"/>
    <w:rsid w:val="003624D6"/>
    <w:rsid w:val="003706DF"/>
    <w:rsid w:val="00370B48"/>
    <w:rsid w:val="00372C47"/>
    <w:rsid w:val="0038227D"/>
    <w:rsid w:val="003838B6"/>
    <w:rsid w:val="003849E7"/>
    <w:rsid w:val="003868CE"/>
    <w:rsid w:val="00390250"/>
    <w:rsid w:val="00396D6C"/>
    <w:rsid w:val="003A6707"/>
    <w:rsid w:val="003B6DB3"/>
    <w:rsid w:val="003B7C7D"/>
    <w:rsid w:val="003C0647"/>
    <w:rsid w:val="003C4DF9"/>
    <w:rsid w:val="003C574C"/>
    <w:rsid w:val="003C6F9C"/>
    <w:rsid w:val="003D734C"/>
    <w:rsid w:val="003D7E15"/>
    <w:rsid w:val="003D7F23"/>
    <w:rsid w:val="003E22CB"/>
    <w:rsid w:val="003E291D"/>
    <w:rsid w:val="003E5788"/>
    <w:rsid w:val="003E71F2"/>
    <w:rsid w:val="003F1B7D"/>
    <w:rsid w:val="003F2247"/>
    <w:rsid w:val="003F305E"/>
    <w:rsid w:val="003F5E3E"/>
    <w:rsid w:val="003F66C4"/>
    <w:rsid w:val="0040336F"/>
    <w:rsid w:val="00404DB4"/>
    <w:rsid w:val="004130F0"/>
    <w:rsid w:val="004147CE"/>
    <w:rsid w:val="00415154"/>
    <w:rsid w:val="00415E7C"/>
    <w:rsid w:val="00416C0F"/>
    <w:rsid w:val="00420959"/>
    <w:rsid w:val="0042383E"/>
    <w:rsid w:val="00424A3D"/>
    <w:rsid w:val="00424A8E"/>
    <w:rsid w:val="004262E2"/>
    <w:rsid w:val="00431781"/>
    <w:rsid w:val="00432E86"/>
    <w:rsid w:val="0043361D"/>
    <w:rsid w:val="00434F52"/>
    <w:rsid w:val="00440282"/>
    <w:rsid w:val="00444255"/>
    <w:rsid w:val="00446C4D"/>
    <w:rsid w:val="00446D3C"/>
    <w:rsid w:val="004507AD"/>
    <w:rsid w:val="00473522"/>
    <w:rsid w:val="004808B3"/>
    <w:rsid w:val="0048294A"/>
    <w:rsid w:val="0048296E"/>
    <w:rsid w:val="0048625E"/>
    <w:rsid w:val="0049099A"/>
    <w:rsid w:val="00496C05"/>
    <w:rsid w:val="004A0F43"/>
    <w:rsid w:val="004A352D"/>
    <w:rsid w:val="004A6AB6"/>
    <w:rsid w:val="004B1E13"/>
    <w:rsid w:val="004B48BD"/>
    <w:rsid w:val="004B5F3D"/>
    <w:rsid w:val="004B6DCE"/>
    <w:rsid w:val="004C6215"/>
    <w:rsid w:val="004D0A01"/>
    <w:rsid w:val="004D1C18"/>
    <w:rsid w:val="004D79C1"/>
    <w:rsid w:val="004E2E2B"/>
    <w:rsid w:val="004F07C1"/>
    <w:rsid w:val="00501BCF"/>
    <w:rsid w:val="005023D2"/>
    <w:rsid w:val="005024B7"/>
    <w:rsid w:val="00505621"/>
    <w:rsid w:val="00511F75"/>
    <w:rsid w:val="005129A3"/>
    <w:rsid w:val="00512F9B"/>
    <w:rsid w:val="0051540B"/>
    <w:rsid w:val="00516578"/>
    <w:rsid w:val="00527AC0"/>
    <w:rsid w:val="005300DD"/>
    <w:rsid w:val="0053158B"/>
    <w:rsid w:val="00542C72"/>
    <w:rsid w:val="00544BAD"/>
    <w:rsid w:val="00551F14"/>
    <w:rsid w:val="00552126"/>
    <w:rsid w:val="00552972"/>
    <w:rsid w:val="00563A6A"/>
    <w:rsid w:val="00563CEC"/>
    <w:rsid w:val="00563DAE"/>
    <w:rsid w:val="0056615A"/>
    <w:rsid w:val="00576E40"/>
    <w:rsid w:val="00584497"/>
    <w:rsid w:val="0058472D"/>
    <w:rsid w:val="00585D47"/>
    <w:rsid w:val="005864AF"/>
    <w:rsid w:val="00590FC2"/>
    <w:rsid w:val="0059154A"/>
    <w:rsid w:val="005960CF"/>
    <w:rsid w:val="005962E2"/>
    <w:rsid w:val="005A0834"/>
    <w:rsid w:val="005A4BE2"/>
    <w:rsid w:val="005A7501"/>
    <w:rsid w:val="005B3F66"/>
    <w:rsid w:val="005B75F6"/>
    <w:rsid w:val="005C4B43"/>
    <w:rsid w:val="005C557D"/>
    <w:rsid w:val="005C74F1"/>
    <w:rsid w:val="005D078A"/>
    <w:rsid w:val="005D2991"/>
    <w:rsid w:val="005D3C5A"/>
    <w:rsid w:val="005E08CE"/>
    <w:rsid w:val="005E147A"/>
    <w:rsid w:val="005E2A68"/>
    <w:rsid w:val="005F1E7A"/>
    <w:rsid w:val="005F6FC5"/>
    <w:rsid w:val="005F7F4C"/>
    <w:rsid w:val="00600139"/>
    <w:rsid w:val="006062BD"/>
    <w:rsid w:val="006137C6"/>
    <w:rsid w:val="00613880"/>
    <w:rsid w:val="00614A50"/>
    <w:rsid w:val="00624B78"/>
    <w:rsid w:val="00625961"/>
    <w:rsid w:val="006266CD"/>
    <w:rsid w:val="00631B63"/>
    <w:rsid w:val="00637129"/>
    <w:rsid w:val="006432C2"/>
    <w:rsid w:val="00643C2C"/>
    <w:rsid w:val="00644BF9"/>
    <w:rsid w:val="006460E3"/>
    <w:rsid w:val="00646AB1"/>
    <w:rsid w:val="00647DF1"/>
    <w:rsid w:val="00650DDE"/>
    <w:rsid w:val="00651AC7"/>
    <w:rsid w:val="0066243C"/>
    <w:rsid w:val="00667292"/>
    <w:rsid w:val="006674A8"/>
    <w:rsid w:val="00671F1B"/>
    <w:rsid w:val="00672346"/>
    <w:rsid w:val="00673254"/>
    <w:rsid w:val="00677474"/>
    <w:rsid w:val="0067771A"/>
    <w:rsid w:val="006831B7"/>
    <w:rsid w:val="0068719B"/>
    <w:rsid w:val="00691BF6"/>
    <w:rsid w:val="00692B28"/>
    <w:rsid w:val="00693B49"/>
    <w:rsid w:val="0069674D"/>
    <w:rsid w:val="006A2D68"/>
    <w:rsid w:val="006A4355"/>
    <w:rsid w:val="006A72CA"/>
    <w:rsid w:val="006A777B"/>
    <w:rsid w:val="006C2056"/>
    <w:rsid w:val="006C2BF4"/>
    <w:rsid w:val="006C71B8"/>
    <w:rsid w:val="006D1AE3"/>
    <w:rsid w:val="006D1FB2"/>
    <w:rsid w:val="006D24C8"/>
    <w:rsid w:val="006D3760"/>
    <w:rsid w:val="006D64D2"/>
    <w:rsid w:val="006D64EB"/>
    <w:rsid w:val="006F22BC"/>
    <w:rsid w:val="006F7B40"/>
    <w:rsid w:val="00700ADA"/>
    <w:rsid w:val="00701D38"/>
    <w:rsid w:val="00702079"/>
    <w:rsid w:val="0070522A"/>
    <w:rsid w:val="007059FC"/>
    <w:rsid w:val="007167B5"/>
    <w:rsid w:val="007228B3"/>
    <w:rsid w:val="007232C2"/>
    <w:rsid w:val="007266B6"/>
    <w:rsid w:val="00726F6D"/>
    <w:rsid w:val="00730872"/>
    <w:rsid w:val="00735B3F"/>
    <w:rsid w:val="00740D47"/>
    <w:rsid w:val="0074767B"/>
    <w:rsid w:val="007510DD"/>
    <w:rsid w:val="00754C61"/>
    <w:rsid w:val="00761761"/>
    <w:rsid w:val="00762BEE"/>
    <w:rsid w:val="007675DD"/>
    <w:rsid w:val="00771B25"/>
    <w:rsid w:val="0077388E"/>
    <w:rsid w:val="007752EE"/>
    <w:rsid w:val="007759D6"/>
    <w:rsid w:val="0077788C"/>
    <w:rsid w:val="00780A69"/>
    <w:rsid w:val="00780BDF"/>
    <w:rsid w:val="00781027"/>
    <w:rsid w:val="00783C8C"/>
    <w:rsid w:val="00784895"/>
    <w:rsid w:val="00785B07"/>
    <w:rsid w:val="0078607F"/>
    <w:rsid w:val="00790066"/>
    <w:rsid w:val="0079556B"/>
    <w:rsid w:val="00796EDC"/>
    <w:rsid w:val="007A123E"/>
    <w:rsid w:val="007A261B"/>
    <w:rsid w:val="007A45A3"/>
    <w:rsid w:val="007A4D5F"/>
    <w:rsid w:val="007A54E8"/>
    <w:rsid w:val="007B03C8"/>
    <w:rsid w:val="007B3C98"/>
    <w:rsid w:val="007C0FBC"/>
    <w:rsid w:val="007C107E"/>
    <w:rsid w:val="007C3AA3"/>
    <w:rsid w:val="007C4871"/>
    <w:rsid w:val="007D0A6F"/>
    <w:rsid w:val="007D31C0"/>
    <w:rsid w:val="007D653C"/>
    <w:rsid w:val="007E5876"/>
    <w:rsid w:val="007E747E"/>
    <w:rsid w:val="007F2D4B"/>
    <w:rsid w:val="007F687E"/>
    <w:rsid w:val="007F7101"/>
    <w:rsid w:val="008023CC"/>
    <w:rsid w:val="0081234D"/>
    <w:rsid w:val="0081425B"/>
    <w:rsid w:val="0081697E"/>
    <w:rsid w:val="008175F7"/>
    <w:rsid w:val="00821A55"/>
    <w:rsid w:val="008313FD"/>
    <w:rsid w:val="00835F6B"/>
    <w:rsid w:val="00836698"/>
    <w:rsid w:val="008447EB"/>
    <w:rsid w:val="00844904"/>
    <w:rsid w:val="008456C6"/>
    <w:rsid w:val="0085439B"/>
    <w:rsid w:val="00857F9F"/>
    <w:rsid w:val="0086009A"/>
    <w:rsid w:val="0086183D"/>
    <w:rsid w:val="00864349"/>
    <w:rsid w:val="00866598"/>
    <w:rsid w:val="008745AA"/>
    <w:rsid w:val="0088070A"/>
    <w:rsid w:val="00881A6A"/>
    <w:rsid w:val="00882934"/>
    <w:rsid w:val="008848ED"/>
    <w:rsid w:val="0088563A"/>
    <w:rsid w:val="00885E14"/>
    <w:rsid w:val="008A6915"/>
    <w:rsid w:val="008A6B76"/>
    <w:rsid w:val="008B15C8"/>
    <w:rsid w:val="008B7FCA"/>
    <w:rsid w:val="008C3343"/>
    <w:rsid w:val="008D63FC"/>
    <w:rsid w:val="008E101B"/>
    <w:rsid w:val="008E5E34"/>
    <w:rsid w:val="008E7D89"/>
    <w:rsid w:val="008F301C"/>
    <w:rsid w:val="008F4D9C"/>
    <w:rsid w:val="00900061"/>
    <w:rsid w:val="00901622"/>
    <w:rsid w:val="00905D1B"/>
    <w:rsid w:val="009144FF"/>
    <w:rsid w:val="00915B2E"/>
    <w:rsid w:val="00916967"/>
    <w:rsid w:val="00920A0A"/>
    <w:rsid w:val="00923509"/>
    <w:rsid w:val="00930C64"/>
    <w:rsid w:val="00931B83"/>
    <w:rsid w:val="00931C1B"/>
    <w:rsid w:val="0093406F"/>
    <w:rsid w:val="00934CDF"/>
    <w:rsid w:val="00936AEA"/>
    <w:rsid w:val="00937685"/>
    <w:rsid w:val="009429AF"/>
    <w:rsid w:val="00950C02"/>
    <w:rsid w:val="00951C21"/>
    <w:rsid w:val="00956AEF"/>
    <w:rsid w:val="009638D4"/>
    <w:rsid w:val="00964692"/>
    <w:rsid w:val="00965E31"/>
    <w:rsid w:val="00966819"/>
    <w:rsid w:val="00970A66"/>
    <w:rsid w:val="009721CF"/>
    <w:rsid w:val="00975BC1"/>
    <w:rsid w:val="00980EBD"/>
    <w:rsid w:val="009812F2"/>
    <w:rsid w:val="00985440"/>
    <w:rsid w:val="009904C6"/>
    <w:rsid w:val="009945CD"/>
    <w:rsid w:val="0099556E"/>
    <w:rsid w:val="00995669"/>
    <w:rsid w:val="00996414"/>
    <w:rsid w:val="009A086F"/>
    <w:rsid w:val="009A7267"/>
    <w:rsid w:val="009A7FF4"/>
    <w:rsid w:val="009B038F"/>
    <w:rsid w:val="009B370F"/>
    <w:rsid w:val="009B4CF9"/>
    <w:rsid w:val="009B63D4"/>
    <w:rsid w:val="009B763D"/>
    <w:rsid w:val="009B763E"/>
    <w:rsid w:val="009C0302"/>
    <w:rsid w:val="009C0417"/>
    <w:rsid w:val="009C181F"/>
    <w:rsid w:val="009D2155"/>
    <w:rsid w:val="009D2E5E"/>
    <w:rsid w:val="009D6AC4"/>
    <w:rsid w:val="009E01BE"/>
    <w:rsid w:val="009E53AB"/>
    <w:rsid w:val="009F12E8"/>
    <w:rsid w:val="009F2F42"/>
    <w:rsid w:val="009F3E11"/>
    <w:rsid w:val="009F69B9"/>
    <w:rsid w:val="009F6BD0"/>
    <w:rsid w:val="009F7F68"/>
    <w:rsid w:val="00A078DC"/>
    <w:rsid w:val="00A13D26"/>
    <w:rsid w:val="00A1468F"/>
    <w:rsid w:val="00A2068F"/>
    <w:rsid w:val="00A208E0"/>
    <w:rsid w:val="00A23789"/>
    <w:rsid w:val="00A24493"/>
    <w:rsid w:val="00A300AD"/>
    <w:rsid w:val="00A3148B"/>
    <w:rsid w:val="00A34004"/>
    <w:rsid w:val="00A428D5"/>
    <w:rsid w:val="00A4701F"/>
    <w:rsid w:val="00A500B4"/>
    <w:rsid w:val="00A50529"/>
    <w:rsid w:val="00A53722"/>
    <w:rsid w:val="00A537C3"/>
    <w:rsid w:val="00A55DC7"/>
    <w:rsid w:val="00A57001"/>
    <w:rsid w:val="00A57874"/>
    <w:rsid w:val="00A57C4F"/>
    <w:rsid w:val="00A60E83"/>
    <w:rsid w:val="00A6249E"/>
    <w:rsid w:val="00A807F5"/>
    <w:rsid w:val="00A836CE"/>
    <w:rsid w:val="00A87BCC"/>
    <w:rsid w:val="00A91ACF"/>
    <w:rsid w:val="00A92941"/>
    <w:rsid w:val="00A97BCE"/>
    <w:rsid w:val="00AA01DD"/>
    <w:rsid w:val="00AA4A81"/>
    <w:rsid w:val="00AB735E"/>
    <w:rsid w:val="00AB7A41"/>
    <w:rsid w:val="00AC1EE0"/>
    <w:rsid w:val="00AC473A"/>
    <w:rsid w:val="00AC4E1C"/>
    <w:rsid w:val="00AC5843"/>
    <w:rsid w:val="00AC5F29"/>
    <w:rsid w:val="00AC6EAE"/>
    <w:rsid w:val="00AD6477"/>
    <w:rsid w:val="00AE410D"/>
    <w:rsid w:val="00AE52AE"/>
    <w:rsid w:val="00AE7B4A"/>
    <w:rsid w:val="00AF3626"/>
    <w:rsid w:val="00AF48B0"/>
    <w:rsid w:val="00AF61FA"/>
    <w:rsid w:val="00B04315"/>
    <w:rsid w:val="00B06759"/>
    <w:rsid w:val="00B10A89"/>
    <w:rsid w:val="00B111BE"/>
    <w:rsid w:val="00B147AB"/>
    <w:rsid w:val="00B17F85"/>
    <w:rsid w:val="00B234D2"/>
    <w:rsid w:val="00B35014"/>
    <w:rsid w:val="00B36E96"/>
    <w:rsid w:val="00B42DA2"/>
    <w:rsid w:val="00B43E10"/>
    <w:rsid w:val="00B45214"/>
    <w:rsid w:val="00B45367"/>
    <w:rsid w:val="00B47F02"/>
    <w:rsid w:val="00B50AB3"/>
    <w:rsid w:val="00B51A64"/>
    <w:rsid w:val="00B5305F"/>
    <w:rsid w:val="00B560D8"/>
    <w:rsid w:val="00B5700F"/>
    <w:rsid w:val="00B64596"/>
    <w:rsid w:val="00B64A5A"/>
    <w:rsid w:val="00B6528E"/>
    <w:rsid w:val="00B6795A"/>
    <w:rsid w:val="00B7015D"/>
    <w:rsid w:val="00B7331C"/>
    <w:rsid w:val="00B735DE"/>
    <w:rsid w:val="00B766D4"/>
    <w:rsid w:val="00B77BDC"/>
    <w:rsid w:val="00B80370"/>
    <w:rsid w:val="00B810DC"/>
    <w:rsid w:val="00B82287"/>
    <w:rsid w:val="00B82FE3"/>
    <w:rsid w:val="00B94FF7"/>
    <w:rsid w:val="00B9574E"/>
    <w:rsid w:val="00BA1CEB"/>
    <w:rsid w:val="00BA68F0"/>
    <w:rsid w:val="00BB0648"/>
    <w:rsid w:val="00BB0AB5"/>
    <w:rsid w:val="00BB13F8"/>
    <w:rsid w:val="00BB3FCB"/>
    <w:rsid w:val="00BB695B"/>
    <w:rsid w:val="00BC2E71"/>
    <w:rsid w:val="00BC7E3C"/>
    <w:rsid w:val="00BD0D06"/>
    <w:rsid w:val="00BD1574"/>
    <w:rsid w:val="00BD1A8F"/>
    <w:rsid w:val="00BD28F3"/>
    <w:rsid w:val="00BD5302"/>
    <w:rsid w:val="00BE21A1"/>
    <w:rsid w:val="00BE4C91"/>
    <w:rsid w:val="00BE5921"/>
    <w:rsid w:val="00BF15BD"/>
    <w:rsid w:val="00BF37AA"/>
    <w:rsid w:val="00C0049E"/>
    <w:rsid w:val="00C04204"/>
    <w:rsid w:val="00C06E3B"/>
    <w:rsid w:val="00C1058B"/>
    <w:rsid w:val="00C130CE"/>
    <w:rsid w:val="00C133CB"/>
    <w:rsid w:val="00C21F0B"/>
    <w:rsid w:val="00C24E03"/>
    <w:rsid w:val="00C27143"/>
    <w:rsid w:val="00C276E5"/>
    <w:rsid w:val="00C2779D"/>
    <w:rsid w:val="00C30EA1"/>
    <w:rsid w:val="00C31DF1"/>
    <w:rsid w:val="00C36B57"/>
    <w:rsid w:val="00C414D7"/>
    <w:rsid w:val="00C43447"/>
    <w:rsid w:val="00C4472F"/>
    <w:rsid w:val="00C44BDB"/>
    <w:rsid w:val="00C46381"/>
    <w:rsid w:val="00C4670D"/>
    <w:rsid w:val="00C50796"/>
    <w:rsid w:val="00C52900"/>
    <w:rsid w:val="00C52DF8"/>
    <w:rsid w:val="00C532D5"/>
    <w:rsid w:val="00C53CCC"/>
    <w:rsid w:val="00C61063"/>
    <w:rsid w:val="00C63F7C"/>
    <w:rsid w:val="00C65300"/>
    <w:rsid w:val="00C70537"/>
    <w:rsid w:val="00C757CE"/>
    <w:rsid w:val="00C77BBA"/>
    <w:rsid w:val="00C82BBC"/>
    <w:rsid w:val="00C9186C"/>
    <w:rsid w:val="00C91BD5"/>
    <w:rsid w:val="00C938BA"/>
    <w:rsid w:val="00CA541A"/>
    <w:rsid w:val="00CA54F5"/>
    <w:rsid w:val="00CA761E"/>
    <w:rsid w:val="00CB46AB"/>
    <w:rsid w:val="00CB6399"/>
    <w:rsid w:val="00CC263C"/>
    <w:rsid w:val="00CC5061"/>
    <w:rsid w:val="00CD195D"/>
    <w:rsid w:val="00CD23A9"/>
    <w:rsid w:val="00CD2C5A"/>
    <w:rsid w:val="00CD5254"/>
    <w:rsid w:val="00CF012E"/>
    <w:rsid w:val="00CF672C"/>
    <w:rsid w:val="00CF7B5C"/>
    <w:rsid w:val="00D01871"/>
    <w:rsid w:val="00D0213C"/>
    <w:rsid w:val="00D05C9D"/>
    <w:rsid w:val="00D117B5"/>
    <w:rsid w:val="00D15549"/>
    <w:rsid w:val="00D15C94"/>
    <w:rsid w:val="00D17893"/>
    <w:rsid w:val="00D223CB"/>
    <w:rsid w:val="00D22BDC"/>
    <w:rsid w:val="00D26C20"/>
    <w:rsid w:val="00D30D21"/>
    <w:rsid w:val="00D371B1"/>
    <w:rsid w:val="00D4741C"/>
    <w:rsid w:val="00D514B3"/>
    <w:rsid w:val="00D55D1D"/>
    <w:rsid w:val="00D55F25"/>
    <w:rsid w:val="00D650AA"/>
    <w:rsid w:val="00D66BD3"/>
    <w:rsid w:val="00D7109D"/>
    <w:rsid w:val="00D7150F"/>
    <w:rsid w:val="00D71729"/>
    <w:rsid w:val="00D765EC"/>
    <w:rsid w:val="00D766C5"/>
    <w:rsid w:val="00D77076"/>
    <w:rsid w:val="00D91B95"/>
    <w:rsid w:val="00D9236E"/>
    <w:rsid w:val="00D94075"/>
    <w:rsid w:val="00D94C33"/>
    <w:rsid w:val="00D9728D"/>
    <w:rsid w:val="00DA1AAD"/>
    <w:rsid w:val="00DA368E"/>
    <w:rsid w:val="00DA61EB"/>
    <w:rsid w:val="00DA6416"/>
    <w:rsid w:val="00DB0518"/>
    <w:rsid w:val="00DB2E4A"/>
    <w:rsid w:val="00DC0F2A"/>
    <w:rsid w:val="00DC2BF3"/>
    <w:rsid w:val="00DC3712"/>
    <w:rsid w:val="00DC67E5"/>
    <w:rsid w:val="00DC70D4"/>
    <w:rsid w:val="00DD3009"/>
    <w:rsid w:val="00DD3EC2"/>
    <w:rsid w:val="00DD3F80"/>
    <w:rsid w:val="00DD4830"/>
    <w:rsid w:val="00DD56BF"/>
    <w:rsid w:val="00DD5A7A"/>
    <w:rsid w:val="00DF2156"/>
    <w:rsid w:val="00DF2E33"/>
    <w:rsid w:val="00DF3E2D"/>
    <w:rsid w:val="00E07053"/>
    <w:rsid w:val="00E07F72"/>
    <w:rsid w:val="00E11CB2"/>
    <w:rsid w:val="00E1503B"/>
    <w:rsid w:val="00E2205C"/>
    <w:rsid w:val="00E26B38"/>
    <w:rsid w:val="00E328F2"/>
    <w:rsid w:val="00E341C8"/>
    <w:rsid w:val="00E351FB"/>
    <w:rsid w:val="00E40B5D"/>
    <w:rsid w:val="00E45D5B"/>
    <w:rsid w:val="00E46DF8"/>
    <w:rsid w:val="00E515F6"/>
    <w:rsid w:val="00E52290"/>
    <w:rsid w:val="00E525E1"/>
    <w:rsid w:val="00E527E4"/>
    <w:rsid w:val="00E555F1"/>
    <w:rsid w:val="00E60559"/>
    <w:rsid w:val="00E62996"/>
    <w:rsid w:val="00E63E74"/>
    <w:rsid w:val="00E67B99"/>
    <w:rsid w:val="00E76A35"/>
    <w:rsid w:val="00E81B95"/>
    <w:rsid w:val="00E8665D"/>
    <w:rsid w:val="00E90AC4"/>
    <w:rsid w:val="00E92005"/>
    <w:rsid w:val="00E92282"/>
    <w:rsid w:val="00E95F16"/>
    <w:rsid w:val="00EA015E"/>
    <w:rsid w:val="00EA5122"/>
    <w:rsid w:val="00EA514C"/>
    <w:rsid w:val="00EA5754"/>
    <w:rsid w:val="00EB2EFE"/>
    <w:rsid w:val="00EB31C4"/>
    <w:rsid w:val="00EB3331"/>
    <w:rsid w:val="00EB68E8"/>
    <w:rsid w:val="00EC1ACF"/>
    <w:rsid w:val="00EC4D5D"/>
    <w:rsid w:val="00ED347F"/>
    <w:rsid w:val="00ED5785"/>
    <w:rsid w:val="00ED5A38"/>
    <w:rsid w:val="00ED7B76"/>
    <w:rsid w:val="00EE1B3C"/>
    <w:rsid w:val="00EE4778"/>
    <w:rsid w:val="00EE52A3"/>
    <w:rsid w:val="00EE5B7A"/>
    <w:rsid w:val="00EE5DB6"/>
    <w:rsid w:val="00EE6AE5"/>
    <w:rsid w:val="00EF178D"/>
    <w:rsid w:val="00EF76EA"/>
    <w:rsid w:val="00EF7702"/>
    <w:rsid w:val="00F04E28"/>
    <w:rsid w:val="00F061DB"/>
    <w:rsid w:val="00F07588"/>
    <w:rsid w:val="00F1040D"/>
    <w:rsid w:val="00F10F98"/>
    <w:rsid w:val="00F1141A"/>
    <w:rsid w:val="00F13921"/>
    <w:rsid w:val="00F242DD"/>
    <w:rsid w:val="00F4130A"/>
    <w:rsid w:val="00F65D13"/>
    <w:rsid w:val="00F662AC"/>
    <w:rsid w:val="00F67033"/>
    <w:rsid w:val="00F74030"/>
    <w:rsid w:val="00F74DA5"/>
    <w:rsid w:val="00F76FB6"/>
    <w:rsid w:val="00F8231C"/>
    <w:rsid w:val="00F9351B"/>
    <w:rsid w:val="00F93CE1"/>
    <w:rsid w:val="00F96E22"/>
    <w:rsid w:val="00F97B3E"/>
    <w:rsid w:val="00FA195C"/>
    <w:rsid w:val="00FA21D5"/>
    <w:rsid w:val="00FA4E97"/>
    <w:rsid w:val="00FB4383"/>
    <w:rsid w:val="00FC2D96"/>
    <w:rsid w:val="00FC3E45"/>
    <w:rsid w:val="00FC47DD"/>
    <w:rsid w:val="00FC72D9"/>
    <w:rsid w:val="00FD290B"/>
    <w:rsid w:val="00FD59E2"/>
    <w:rsid w:val="00FE2753"/>
    <w:rsid w:val="00FE6081"/>
    <w:rsid w:val="00FF1566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12461F9-2106-481D-A643-6EC81BCC3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B57"/>
    <w:pPr>
      <w:suppressAutoHyphens/>
      <w:spacing w:after="200" w:line="276" w:lineRule="auto"/>
    </w:pPr>
    <w:rPr>
      <w:rFonts w:ascii="Courier New" w:eastAsia="Courier New" w:hAnsi="Courier New" w:cs="Courier New"/>
      <w:sz w:val="22"/>
      <w:szCs w:val="22"/>
      <w:lang w:val="es-ES" w:eastAsia="ar-SA"/>
    </w:rPr>
  </w:style>
  <w:style w:type="paragraph" w:styleId="Ttulo1">
    <w:name w:val="heading 1"/>
    <w:basedOn w:val="Normal"/>
    <w:next w:val="Normal"/>
    <w:qFormat/>
    <w:rsid w:val="00C63F7C"/>
    <w:pPr>
      <w:keepNext/>
      <w:numPr>
        <w:numId w:val="1"/>
      </w:numPr>
      <w:spacing w:after="0" w:line="36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val="es-AR" w:eastAsia="es-ES"/>
    </w:rPr>
  </w:style>
  <w:style w:type="paragraph" w:styleId="Ttulo2">
    <w:name w:val="heading 2"/>
    <w:basedOn w:val="Normal"/>
    <w:next w:val="Normal"/>
    <w:qFormat/>
    <w:rsid w:val="00C63F7C"/>
    <w:pPr>
      <w:keepNext/>
      <w:spacing w:after="0" w:line="360" w:lineRule="auto"/>
      <w:jc w:val="right"/>
      <w:outlineLvl w:val="1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-Fuentedeprrafopredeter">
    <w:name w:val="WW-Fuente de párrafo predeter."/>
    <w:rsid w:val="00C63F7C"/>
  </w:style>
  <w:style w:type="paragraph" w:customStyle="1" w:styleId="Heading">
    <w:name w:val="Heading"/>
    <w:basedOn w:val="Normal"/>
    <w:next w:val="Textoindependiente"/>
    <w:rsid w:val="00C63F7C"/>
    <w:pPr>
      <w:keepNext/>
      <w:spacing w:before="240" w:after="120" w:line="240" w:lineRule="auto"/>
    </w:pPr>
    <w:rPr>
      <w:rFonts w:ascii="Helvetica" w:eastAsia="Times New Roman" w:hAnsi="Helvetica" w:cs="Times New Roman"/>
      <w:sz w:val="28"/>
      <w:szCs w:val="20"/>
      <w:lang w:val="es-AR" w:eastAsia="es-ES"/>
    </w:rPr>
  </w:style>
  <w:style w:type="paragraph" w:styleId="Textoindependiente">
    <w:name w:val="Body Text"/>
    <w:basedOn w:val="Normal"/>
    <w:semiHidden/>
    <w:rsid w:val="00C63F7C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rsid w:val="00C63F7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paragraph" w:styleId="Piedepgina">
    <w:name w:val="footer"/>
    <w:basedOn w:val="Normal"/>
    <w:semiHidden/>
    <w:rsid w:val="00C63F7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paragraph" w:styleId="Sangradetextonormal">
    <w:name w:val="Body Text Indent"/>
    <w:basedOn w:val="Normal"/>
    <w:semiHidden/>
    <w:rsid w:val="00C63F7C"/>
    <w:pPr>
      <w:spacing w:after="0" w:line="240" w:lineRule="auto"/>
      <w:ind w:left="708" w:firstLine="2127"/>
    </w:pPr>
    <w:rPr>
      <w:rFonts w:ascii="Times New Roman" w:eastAsia="Times New Roman" w:hAnsi="Times New Roman" w:cs="Times New Roman"/>
      <w:sz w:val="28"/>
      <w:szCs w:val="20"/>
      <w:lang w:val="es-MX" w:eastAsia="es-ES"/>
    </w:rPr>
  </w:style>
  <w:style w:type="paragraph" w:styleId="Sangra2detindependiente">
    <w:name w:val="Body Text Indent 2"/>
    <w:basedOn w:val="Normal"/>
    <w:semiHidden/>
    <w:rsid w:val="00C63F7C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6"/>
      <w:szCs w:val="20"/>
      <w:lang w:val="es-MX" w:eastAsia="es-ES"/>
    </w:rPr>
  </w:style>
  <w:style w:type="paragraph" w:styleId="Textodeglobo">
    <w:name w:val="Balloon Text"/>
    <w:basedOn w:val="Normal"/>
    <w:semiHidden/>
    <w:rsid w:val="00C63F7C"/>
    <w:pPr>
      <w:spacing w:after="0" w:line="240" w:lineRule="auto"/>
    </w:pPr>
    <w:rPr>
      <w:rFonts w:ascii="Tahoma" w:eastAsia="Times New Roman" w:hAnsi="Tahoma" w:cs="Tahoma"/>
      <w:sz w:val="16"/>
      <w:szCs w:val="16"/>
      <w:lang w:val="es-AR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C36B57"/>
    <w:rPr>
      <w:lang w:eastAsia="es-ES"/>
    </w:rPr>
  </w:style>
  <w:style w:type="character" w:customStyle="1" w:styleId="TextodegloboCar">
    <w:name w:val="Texto de globo Car"/>
    <w:rsid w:val="00C36B5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70A66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46AB1"/>
    <w:pPr>
      <w:suppressAutoHyphens w:val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46AB1"/>
    <w:rPr>
      <w:rFonts w:ascii="Courier New" w:eastAsia="Courier New" w:hAnsi="Courier New" w:cs="Courier New"/>
      <w:lang w:val="es-ES" w:eastAsia="ar-SA"/>
    </w:rPr>
  </w:style>
  <w:style w:type="character" w:styleId="Refdenotaalpie">
    <w:name w:val="footnote reference"/>
    <w:basedOn w:val="Fuentedeprrafopredeter"/>
    <w:uiPriority w:val="99"/>
    <w:semiHidden/>
    <w:unhideWhenUsed/>
    <w:rsid w:val="00646AB1"/>
    <w:rPr>
      <w:vertAlign w:val="superscript"/>
    </w:rPr>
  </w:style>
  <w:style w:type="paragraph" w:styleId="Prrafodelista">
    <w:name w:val="List Paragraph"/>
    <w:basedOn w:val="Normal"/>
    <w:uiPriority w:val="34"/>
    <w:qFormat/>
    <w:rsid w:val="002B78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6CAC9-001F-44C4-8D83-CD0717101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497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</vt:lpstr>
    </vt:vector>
  </TitlesOfParts>
  <Company/>
  <LinksUpToDate>false</LinksUpToDate>
  <CharactersWithSpaces>3225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</dc:title>
  <dc:creator>csjn</dc:creator>
  <cp:lastModifiedBy>CSJN</cp:lastModifiedBy>
  <cp:revision>3</cp:revision>
  <cp:lastPrinted>2005-12-20T13:21:00Z</cp:lastPrinted>
  <dcterms:created xsi:type="dcterms:W3CDTF">2026-06-12T14:39:00Z</dcterms:created>
  <dcterms:modified xsi:type="dcterms:W3CDTF">2026-06-12T14:41:00Z</dcterms:modified>
</cp:coreProperties>
</file>