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0E3" w:rsidRDefault="006460E3" w:rsidP="006460E3">
      <w:pPr>
        <w:spacing w:line="360" w:lineRule="auto"/>
        <w:ind w:firstLine="1418"/>
        <w:jc w:val="both"/>
      </w:pPr>
      <w:r>
        <w:t xml:space="preserve">Buenos Aires, </w:t>
      </w:r>
      <w:r w:rsidR="00613618">
        <w:t>13</w:t>
      </w:r>
      <w:r>
        <w:t xml:space="preserve"> de </w:t>
      </w:r>
      <w:r w:rsidR="004551A0">
        <w:t>mayo</w:t>
      </w:r>
      <w:r w:rsidR="00340437">
        <w:t xml:space="preserve"> de 2021</w:t>
      </w:r>
      <w:r>
        <w:t>.</w:t>
      </w:r>
    </w:p>
    <w:p w:rsidR="00A43991" w:rsidRPr="00A43991" w:rsidRDefault="00A43991" w:rsidP="00A43991">
      <w:pPr>
        <w:spacing w:line="360" w:lineRule="auto"/>
        <w:ind w:firstLine="709"/>
        <w:jc w:val="both"/>
        <w:rPr>
          <w:rFonts w:eastAsia="Calibri"/>
        </w:rPr>
      </w:pPr>
      <w:r w:rsidRPr="00A43991">
        <w:rPr>
          <w:rFonts w:eastAsia="Calibri"/>
        </w:rPr>
        <w:t>Autos y Vistos; Considerando:</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1º) Que a fs. 45/77 vta. </w:t>
      </w:r>
      <w:proofErr w:type="spellStart"/>
      <w:r w:rsidRPr="00A43991">
        <w:rPr>
          <w:rFonts w:eastAsia="Calibri"/>
        </w:rPr>
        <w:t>Gador</w:t>
      </w:r>
      <w:proofErr w:type="spellEnd"/>
      <w:r w:rsidRPr="00A43991">
        <w:rPr>
          <w:rFonts w:eastAsia="Calibri"/>
        </w:rPr>
        <w:t xml:space="preserve"> S.A., promueve la presente acción declarativa de certeza en los términos del art. 322 del Código Procesal Civil y Comercial de la Nación contra la Provincia de Buenos Aires, a fin de hacer cesar el estado de incertidumbre que conlleva la aplicación de una diferencia de alícuota más gravosa en la determinación del impuesto sobre los ingresos brutos, respecto de las actividades que desarrolla en los términos de los arts. 20, inc. c), y 21, inc. l), de la ley provincial 14.880 (</w:t>
      </w:r>
      <w:proofErr w:type="spellStart"/>
      <w:r w:rsidRPr="00A43991">
        <w:rPr>
          <w:rFonts w:eastAsia="Calibri"/>
        </w:rPr>
        <w:t>t.o</w:t>
      </w:r>
      <w:proofErr w:type="spellEnd"/>
      <w:r w:rsidRPr="00A43991">
        <w:rPr>
          <w:rFonts w:eastAsia="Calibri"/>
        </w:rPr>
        <w:t>. 2017), únicamente con el fundamento en que no posee establecimiento productivo en la jurisdicción demandada.</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Sostiene que tal diferencia resulta violatoria de los artículos 8, 9, 10, 11, 16, 28, 31, 75, </w:t>
      </w:r>
      <w:proofErr w:type="spellStart"/>
      <w:r w:rsidRPr="00A43991">
        <w:rPr>
          <w:rFonts w:eastAsia="Calibri"/>
        </w:rPr>
        <w:t>incs</w:t>
      </w:r>
      <w:proofErr w:type="spellEnd"/>
      <w:r w:rsidRPr="00A43991">
        <w:rPr>
          <w:rFonts w:eastAsia="Calibri"/>
        </w:rPr>
        <w:t xml:space="preserve">. 1, 10 y 13, y 126 de la Constitución Nacional y, por ello, </w:t>
      </w:r>
      <w:proofErr w:type="gramStart"/>
      <w:r w:rsidRPr="00A43991">
        <w:rPr>
          <w:rFonts w:eastAsia="Calibri"/>
        </w:rPr>
        <w:t>solicita</w:t>
      </w:r>
      <w:proofErr w:type="gramEnd"/>
      <w:r w:rsidRPr="00A43991">
        <w:rPr>
          <w:rFonts w:eastAsia="Calibri"/>
        </w:rPr>
        <w:t xml:space="preserve"> que se declare la inconstitucionalidad de los arts. 20, inc. c); 21, </w:t>
      </w:r>
      <w:proofErr w:type="spellStart"/>
      <w:r w:rsidRPr="00A43991">
        <w:rPr>
          <w:rFonts w:eastAsia="Calibri"/>
        </w:rPr>
        <w:t>incs</w:t>
      </w:r>
      <w:proofErr w:type="spellEnd"/>
      <w:r w:rsidRPr="00A43991">
        <w:rPr>
          <w:rFonts w:eastAsia="Calibri"/>
        </w:rPr>
        <w:t xml:space="preserve">. l) y g); y 26, </w:t>
      </w:r>
      <w:r w:rsidRPr="00A43991">
        <w:rPr>
          <w:rFonts w:eastAsia="Calibri"/>
          <w:i/>
        </w:rPr>
        <w:t>in fine</w:t>
      </w:r>
      <w:r w:rsidRPr="00A43991">
        <w:rPr>
          <w:rFonts w:eastAsia="Calibri"/>
        </w:rPr>
        <w:t>, de la ley impositiva 14.880 (</w:t>
      </w:r>
      <w:proofErr w:type="spellStart"/>
      <w:r w:rsidRPr="00A43991">
        <w:rPr>
          <w:rFonts w:eastAsia="Calibri"/>
        </w:rPr>
        <w:t>t.o</w:t>
      </w:r>
      <w:proofErr w:type="spellEnd"/>
      <w:r w:rsidRPr="00A43991">
        <w:rPr>
          <w:rFonts w:eastAsia="Calibri"/>
        </w:rPr>
        <w:t>. 2017).</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Entiende que el peligro de sufrir un perjuicio es actual y concreto, y que resulta evidente la postura de la Agencia de Recaudación de la Provincia de Buenos Aires, en torno a la liquidación e ingreso del ISIB, al establecer la norma local cuestionada alícuotas más gravosas que las previstas para los contribuyentes que posean establecimiento industrial en la provincia demandada.</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Menciona que con fecha 17 de noviembre de 2017 informó a ARBA que procedería a aplicar a las actividades “Fabricación de Medicamentos de uso humano y productos farmacéuticos” (242310) y “Fabricación de cosméticos, perfumes, productos de higiene y tocador” (242490) la alícuota de 1,75%, prevista en el art. 26 de la ley provincial 14.880, y no la alícuota más gravosa –esto es, </w:t>
      </w:r>
      <w:r w:rsidRPr="00A43991">
        <w:rPr>
          <w:rFonts w:eastAsia="Calibri"/>
        </w:rPr>
        <w:lastRenderedPageBreak/>
        <w:t xml:space="preserve">el 4% dispuesto en el art. 20, inc. c), de la citada ley- establecida para industrias ubicadas fuera de la Provincia de Buenos Aires. De igual modo, con relación a la actividad “Venta al por mayor de productos farmacéuticos y veterinarios” (513310), puso en conocimiento del fisco local que comenzaría a tributar el ISIB aplicando la tasa del 2% -y no la del 4,5%- establecida en el art. 21, inc. </w:t>
      </w:r>
      <w:proofErr w:type="gramStart"/>
      <w:r w:rsidRPr="00A43991">
        <w:rPr>
          <w:rFonts w:eastAsia="Calibri"/>
        </w:rPr>
        <w:t>g</w:t>
      </w:r>
      <w:proofErr w:type="gramEnd"/>
      <w:r w:rsidRPr="00A43991">
        <w:rPr>
          <w:rFonts w:eastAsia="Calibri"/>
        </w:rPr>
        <w:t>, de la ley impositiva provincial, contemplada para industrias situadas dentro de la jurisdicción local accionada</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Frente a dicha pr</w:t>
      </w:r>
      <w:r w:rsidR="00DD4528">
        <w:rPr>
          <w:rFonts w:eastAsia="Calibri"/>
        </w:rPr>
        <w:t xml:space="preserve">esentación, señala que el fisco local, </w:t>
      </w:r>
      <w:r w:rsidRPr="00A43991">
        <w:rPr>
          <w:rFonts w:eastAsia="Calibri"/>
        </w:rPr>
        <w:t>el 1 de febrero de 2018, dictó una reso</w:t>
      </w:r>
      <w:r w:rsidR="00DD4528">
        <w:rPr>
          <w:rFonts w:eastAsia="Calibri"/>
        </w:rPr>
        <w:t xml:space="preserve">lución en la cual dejó asentado </w:t>
      </w:r>
      <w:r w:rsidRPr="00A43991">
        <w:rPr>
          <w:rFonts w:eastAsia="Calibri"/>
        </w:rPr>
        <w:t>que carecía de facultades para atribuir al pago efectuado por la actora un sentido jurídico distinto al previsto como efecto por las normas que rigen en la materia.</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Señala que es la propia ley impositiva la que determina de modo expreso un trato diferenciado entre contribuyentes que llevan a cabo la misma actividad, por el solo hecho de poseer o no establecimiento o local industrial en el territorio de la Provincia de Buenos Aires.</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r>
      <w:r w:rsidR="00DD4528">
        <w:rPr>
          <w:rFonts w:eastAsia="Calibri"/>
        </w:rPr>
        <w:t xml:space="preserve">Refiere que ingresó el </w:t>
      </w:r>
      <w:r w:rsidRPr="00A43991">
        <w:rPr>
          <w:rFonts w:eastAsia="Calibri"/>
        </w:rPr>
        <w:t>ISIB correspondiente a las</w:t>
      </w:r>
      <w:r w:rsidR="00DD4528">
        <w:rPr>
          <w:rFonts w:eastAsia="Calibri"/>
        </w:rPr>
        <w:t xml:space="preserve"> posiciones 10, 11 y 12 de 2017 aplicando la alícuota </w:t>
      </w:r>
      <w:r w:rsidRPr="00A43991">
        <w:rPr>
          <w:rFonts w:eastAsia="Calibri"/>
        </w:rPr>
        <w:t>reducida prevista para aquellos contribuyentes que sí poseen establecimiento productivo en la jurisdicción demandada (arts. 21, inc. g),</w:t>
      </w:r>
      <w:r w:rsidR="00DD4528">
        <w:rPr>
          <w:rFonts w:eastAsia="Calibri"/>
        </w:rPr>
        <w:t xml:space="preserve"> y 26, ley 14.880). Sobre este aspecto, resalta que ARBA se encuentra autorizada a intimar de manera inmediata </w:t>
      </w:r>
      <w:r w:rsidRPr="00A43991">
        <w:rPr>
          <w:rFonts w:eastAsia="Calibri"/>
        </w:rPr>
        <w:t>frente al supuesto en que el contribuyente aplique una</w:t>
      </w:r>
      <w:r w:rsidR="00DD4528">
        <w:rPr>
          <w:rFonts w:eastAsia="Calibri"/>
        </w:rPr>
        <w:t xml:space="preserve"> alícuota que no se corresponda con lo normado por la </w:t>
      </w:r>
      <w:r w:rsidRPr="00A43991">
        <w:rPr>
          <w:rFonts w:eastAsia="Calibri"/>
        </w:rPr>
        <w:t xml:space="preserve">ley impositiva. Agrega que la diferencia entre lo declarado por </w:t>
      </w:r>
      <w:proofErr w:type="spellStart"/>
      <w:r w:rsidRPr="00A43991">
        <w:rPr>
          <w:rFonts w:eastAsia="Calibri"/>
        </w:rPr>
        <w:t>Gador</w:t>
      </w:r>
      <w:proofErr w:type="spellEnd"/>
      <w:r w:rsidRPr="00A43991">
        <w:rPr>
          <w:rFonts w:eastAsia="Calibri"/>
        </w:rPr>
        <w:t xml:space="preserve"> y lo exigido por la demandada devendría en una suma a favor del fisco local que ascendería a $7.190.936,48.</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Concluye que no existe otro medio judicial más idóneo a fin de hacer cesar el estado de incertidumbre que le genera el </w:t>
      </w:r>
      <w:r w:rsidRPr="00A43991">
        <w:rPr>
          <w:rFonts w:eastAsia="Calibri"/>
        </w:rPr>
        <w:lastRenderedPageBreak/>
        <w:t>tratamiento impositivo diferencial descripto en función de la actividad que desarrolla en la Provincia de Buenos Aires y que la normativa provincial reseñada resulta manifiestamente inconstitucional y, por lo tanto, le causa un perjuicio actual e inminente.</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En razón de lo expuesto, peticiona al Tribunal que determine que no es ajustado a derecho y a la Constitución Nacional que se obligue a la sociedad actora a tributar el ISIB bajo una alícuota más gravosa por carecer de establecimiento productivo en la provincia demandada.</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Finalmente, solicita el dictado de una medida cautelar de no innovar a los efectos de que se ordene a la demandada abstenerse de i) reclamar y/o ejecutar la diferencia del impuesto resultante de aplicar la alícuota diferencial más gravosa; ii) de reclamar y/o ejecutar intereses, accesorios, recargos y multas; iii) de trabar cualquier medida cautelar o administrativa sobre su patrimonio; iv) de negar la expedición del certificado de cumplimiento fiscal; y v) de considerar y catalogar a la sociedad actora como contribuyente de alto riesgo fiscal, hasta tanto se dicte sentencia definitiva en la presente causa.</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2°) Que, en forma previa a que el Tribunal se pronuncie acerca de su competencia para entender en el caso por vía de su instancia originaria y en relación con la medida cautelar solicitada, a fs. 106, se requirió a la parte actora que se expidiera acerca de la incidencia de las leyes 14.983 y 15.017 de la Provincia de Buenos Aires en el planteo efectuado en este proceso.</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A fs. 107/109, la demandante respondió que, si bien la provincia accionada se adhirió al Consenso Fiscal suscripto el 16 de noviembre de 2017 (conf. ley provincial 15.017) y, en consecuencia, modificó a partir de 2018 el tratamiento diferencial </w:t>
      </w:r>
      <w:r w:rsidRPr="00A43991">
        <w:rPr>
          <w:rFonts w:eastAsia="Calibri"/>
        </w:rPr>
        <w:lastRenderedPageBreak/>
        <w:t xml:space="preserve">que motivó </w:t>
      </w:r>
      <w:r w:rsidR="00DD4528">
        <w:rPr>
          <w:rFonts w:eastAsia="Calibri"/>
        </w:rPr>
        <w:t xml:space="preserve">la presente demanda (conf. ley </w:t>
      </w:r>
      <w:r w:rsidRPr="00A43991">
        <w:rPr>
          <w:rFonts w:eastAsia="Calibri"/>
        </w:rPr>
        <w:t>provincial 14.983), esta refiere a posiciones previas a ese año, motivo por el cual la cuestión debatida en autos no ha devenido abstracta “en tanto el efecto de la modificación es a futuro desde su sanción y no por el pasado”.</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En ese sentido, afirmó que las leyes 14.983 y 15.017 no tienen incidencia alguna en el planteo efectuado en estas actuaciones, al no haberse modificado las leyes impositivas de ejercicios fiscales pasados ni instruido a ARBA a que no persiga el cobro del tributo por los períodos previos al ejercicio fiscal 2018, en caso de que se verificase el supuesto de alícuotas diferenciales más gravosas en el ISIB con motivo del lugar de radicación del contribuyente.</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En cuanto a la medida cautelar, insistió que resulta necesario su dictado en lo que respecta a las posiciones octubre a diciembre de 2017, dado que durante dicho período las alícuotas diferenciales se encontraban vigentes, por lo que el fisco provincial se encuentra en condiciones de exigir el cobro compulsivo de las diferencias.</w:t>
      </w:r>
    </w:p>
    <w:p w:rsidR="00A43991" w:rsidRPr="00A43991" w:rsidRDefault="00DD4528" w:rsidP="00A43991">
      <w:pPr>
        <w:spacing w:line="360" w:lineRule="auto"/>
        <w:jc w:val="both"/>
        <w:rPr>
          <w:rFonts w:eastAsia="Calibri"/>
        </w:rPr>
      </w:pPr>
      <w:r w:rsidRPr="00A43991">
        <w:rPr>
          <w:rFonts w:eastAsia="Calibri"/>
        </w:rPr>
        <w:tab/>
      </w:r>
      <w:r w:rsidRPr="00A43991">
        <w:rPr>
          <w:rFonts w:eastAsia="Calibri"/>
        </w:rPr>
        <w:tab/>
      </w:r>
      <w:r w:rsidR="00A43991" w:rsidRPr="00A43991">
        <w:rPr>
          <w:rFonts w:eastAsia="Calibri"/>
        </w:rPr>
        <w:t>3°) Que, a fs. 117, se requirió a la Provincia de Buenos Aires que informara a este Tribunal sobre la existencia de algún reclamo, procedimiento o acto de cualquier tipo, vinculado al cobro por diferencias de alícuotas del impuesto a los ingresos brutos, basadas en el lugar de radicación del establecimiento productivo de la contribuyente, por los períodos fiscales transcurridos desde octubre de 2017 hasta la entrada en vigencia de la ley 14.983.</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A fs. 219/220, como respuesta al requerimiento precedente, la parte demandada acompañó copias certificadas del expediente administrativo nº 5100-68.721/2019, mediante el cual ARBA informó, respecto de GADOR S.A., que: a) no existen </w:t>
      </w:r>
      <w:r w:rsidRPr="00A43991">
        <w:rPr>
          <w:rFonts w:eastAsia="Calibri"/>
        </w:rPr>
        <w:lastRenderedPageBreak/>
        <w:t>antecedentes de la generación de casos de fiscalización individualizada como contribuyente del ISIB correspondiente al ejercicio fiscal 2017 y b) no tiene previsto en la selección de casos la generación de un procedimiento a la empresa de marras cuyo motivo se deba exclusivamente al señalado.</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De acuerdo a lo informado por el ente recaudador, la provincia accionada señaló que no se ha iniciado ningún procedimiento de verificación y que no es política de esa agencia instar dicho procedimiento tendiente a determinar deuda originada exclusivamente en declaración de alícuotas.</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Por esta razón, sostuvo que en el caso </w:t>
      </w:r>
      <w:r w:rsidRPr="00A43991">
        <w:rPr>
          <w:rFonts w:eastAsia="Calibri"/>
          <w:i/>
        </w:rPr>
        <w:t>sub examine</w:t>
      </w:r>
      <w:r w:rsidRPr="00A43991">
        <w:rPr>
          <w:rFonts w:eastAsia="Calibri"/>
        </w:rPr>
        <w:t xml:space="preserve"> no se constataría la existencia de un acto orientado a la estimación o percepción de las obligaciones tributarias del contribuyente en relación con las alícuotas diferenciales del ISIB, basadas en el lugar de radicación de su establecimiento productivo, por el ejercicio fiscal 2017.</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4°) Que, ante la respuesta dada por la Provincia de Buenos Aires, a fs. 222/224, la parte actora considera, en lo que aquí interesa, que lo informado por ARBA es ambiguo dado que no descartó determinar obligaciones vinculadas con “alícuotas diferenciales” en el marco de inspecciones con objeto más amplio, por lo que –según su entender- el fisco local no se ha inhibido definitivamente de realizar futuros reclamos por diferencias de alícuotas en el ISIB sobre la base del lugar de radicación de la sociedad demandante.</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5°) Que, por último, en virtud de las facultades conferidas por el artículo 36, inciso 4°, apartado a), del Código Procesal Civil y Comercial de la Nación, se celebró la audiencia fijada para el 2 de marzo de 2020. En dicha oportunidad, las partes manifestaron que no era posible arribar a un acuerdo. Ello no obstante, la parte demandada adujo que la actual administración </w:t>
      </w:r>
      <w:r w:rsidRPr="00A43991">
        <w:rPr>
          <w:rFonts w:eastAsia="Calibri"/>
        </w:rPr>
        <w:lastRenderedPageBreak/>
        <w:t>provincial mantenía el criterio fiscal plasmado en la respuesta al requerimiento formulado por el Tribunal en estos autos (ver acta de fs. 226).</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6°) Que la presente causa corresponde a la competencia originaria del Tribunal, de conformidad con lo decidido en el precedente publicado en Fallos: 329:3890 y en las causas CSJ 230/2011 (47-E)/CS1 “ENOD S.A. c/ Buenos Aires, Provincia de s/ acción declarativa de inconstitucionalidad” y CSJ 47/2012 (48- A)/CS1 “</w:t>
      </w:r>
      <w:proofErr w:type="spellStart"/>
      <w:r w:rsidRPr="00A43991">
        <w:rPr>
          <w:rFonts w:eastAsia="Calibri"/>
        </w:rPr>
        <w:t>Aluar</w:t>
      </w:r>
      <w:proofErr w:type="spellEnd"/>
      <w:r w:rsidRPr="00A43991">
        <w:rPr>
          <w:rFonts w:eastAsia="Calibri"/>
        </w:rPr>
        <w:t xml:space="preserve"> Aluminio Argentino S.A.I.C. c/ Buenos Aires, Provincia de s/ acción declarativa de inconstitucionalidad”, sentencias del 22 y 28 de agosto de 2012, sustancialmente análogas, entre otras, a cuyos fundamentos y conclusiones corresponde remitir en razón de brevedad y con el propósito de evitar reiteraciones innecesarias.</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7°) Que, sin perjuicio de ello, es preciso señalar que, por las razones expuestas en los considerandos precedentes, el objeto del pleito se circunscribe a las posiciones octubre a diciembre de 2017, dado que durante esos períodos la actora aplicó la alícuota menor que preveía la ley 14.880 entonces vigente, para los contribuyentes radicados en el territorio provincial.</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8°) Que, sentado lo anterior, cabe recordar que este Tribunal ha establecido reiteradamente que medidas cautelares como la requerida no proceden, en principio, respecto de actos administrativos o legislativos, habida cuenta de la presunción de validez que ostentan (Fallos: 328:3018, entre muchos otros).</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9°) Que, por otro lado, todo sujeto que pretenda la tutela anticipada proveniente de una medida precautoria debe acreditar </w:t>
      </w:r>
      <w:r w:rsidRPr="00A43991">
        <w:rPr>
          <w:rFonts w:eastAsia="Calibri"/>
          <w:i/>
        </w:rPr>
        <w:t>prima facie</w:t>
      </w:r>
      <w:r w:rsidRPr="00A43991">
        <w:rPr>
          <w:rFonts w:eastAsia="Calibri"/>
        </w:rPr>
        <w:t xml:space="preserve"> la existencia de verosimilitud en el derecho invocado y el peligro irreparable en la demora, ya que resulta exigible que se evidencien fehacientemente las razones que </w:t>
      </w:r>
      <w:r w:rsidRPr="00A43991">
        <w:rPr>
          <w:rFonts w:eastAsia="Calibri"/>
        </w:rPr>
        <w:lastRenderedPageBreak/>
        <w:t>justifiquen resoluciones de esa naturaleza (Fallos: 323:337 y 1849, entre muchos otros).</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El examen de la concurrencia del segundo requisito mencionado exige una apreciación atenta de la realidad comprometida, con el objeto de establecer cabalmente si las secuelas que lleguen a producir los hechos que se pretenden evitar pueden restar eficacia al ulterior reconocimiento del derecho en juego por la sentencia definitiva (Fallos: 319:1277). En este sentido se ha destacado que ese extremo debe resultar en forma objetiva del examen sobre los distintos efectos que podría provocar la aplicación de las diversas disposiciones impugnadas, entre ellos su gravitación económica (Fallos: 318:30; 325:388).</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10) Que en el limitado marco de conocimiento que ofrece el examen de una medida como la requerida en el </w:t>
      </w:r>
      <w:r w:rsidRPr="00A43991">
        <w:rPr>
          <w:rFonts w:eastAsia="Calibri"/>
          <w:i/>
        </w:rPr>
        <w:t>sub examine</w:t>
      </w:r>
      <w:r w:rsidRPr="00A43991">
        <w:rPr>
          <w:rFonts w:eastAsia="Calibri"/>
        </w:rPr>
        <w:t>, el Tribunal considera que los elementos y antecedentes considerados hasta el momento no permiten tener por configurados los aludidos presupuestos de admisibilidad de la cautela requerida, en particular, en lo que atañe al peligro irreparable en la demora.</w:t>
      </w:r>
    </w:p>
    <w:p w:rsidR="00A43991" w:rsidRPr="00A43991" w:rsidRDefault="00A43991" w:rsidP="00A43991">
      <w:pPr>
        <w:spacing w:line="360" w:lineRule="auto"/>
        <w:jc w:val="both"/>
        <w:rPr>
          <w:rFonts w:eastAsia="Calibri"/>
        </w:rPr>
      </w:pPr>
      <w:r w:rsidRPr="00A43991">
        <w:rPr>
          <w:rFonts w:eastAsia="Calibri"/>
        </w:rPr>
        <w:tab/>
      </w:r>
      <w:r w:rsidRPr="00A43991">
        <w:rPr>
          <w:rFonts w:eastAsia="Calibri"/>
        </w:rPr>
        <w:tab/>
        <w:t xml:space="preserve">En efecto, </w:t>
      </w:r>
      <w:r w:rsidRPr="00A43991">
        <w:rPr>
          <w:rFonts w:eastAsia="Calibri"/>
          <w:lang w:val="es-MX"/>
        </w:rPr>
        <w:t>a tenor de lo informado por ARBA en la copia certificada del expediente administrativo</w:t>
      </w:r>
      <w:r w:rsidRPr="00A43991">
        <w:rPr>
          <w:rFonts w:eastAsia="Calibri"/>
        </w:rPr>
        <w:t xml:space="preserve"> n° 5100-68.721/2019</w:t>
      </w:r>
      <w:r w:rsidRPr="00A43991">
        <w:rPr>
          <w:rFonts w:eastAsia="Calibri"/>
          <w:lang w:val="es-MX"/>
        </w:rPr>
        <w:t xml:space="preserve"> y de la respuesta brindada por la Provincia de Buenos Aires al requerimiento del Tribunal (fs. 219/220), </w:t>
      </w:r>
      <w:r w:rsidRPr="00A43991">
        <w:rPr>
          <w:rFonts w:eastAsia="Calibri"/>
        </w:rPr>
        <w:t>la accionada no ha iniciado, por el momento, procedimiento de verificación alguno tendiente a determinar la existencia de una deuda por ISIB con sustento en el lugar de radicación del establecimiento productivo de la sociedad demandante, por los ejercicios fiscales aquí involucrados.</w:t>
      </w:r>
    </w:p>
    <w:p w:rsidR="00A43991" w:rsidRPr="00A43991" w:rsidRDefault="00A43991" w:rsidP="00A43991">
      <w:pPr>
        <w:spacing w:line="360" w:lineRule="auto"/>
        <w:jc w:val="both"/>
        <w:rPr>
          <w:rFonts w:eastAsia="Calibri"/>
        </w:rPr>
      </w:pPr>
      <w:r w:rsidRPr="00A43991">
        <w:rPr>
          <w:rFonts w:eastAsia="Calibri"/>
        </w:rPr>
        <w:tab/>
      </w:r>
      <w:bookmarkStart w:id="0" w:name="_GoBack"/>
      <w:bookmarkEnd w:id="0"/>
      <w:r w:rsidRPr="00A43991">
        <w:rPr>
          <w:rFonts w:eastAsia="Calibri"/>
          <w:lang w:val="es-MX"/>
        </w:rPr>
        <w:t xml:space="preserve">Por ello, de conformidad con lo dictaminado por la señora Procuradora Fiscal, se resuelve: </w:t>
      </w:r>
      <w:r w:rsidRPr="00A43991">
        <w:rPr>
          <w:rFonts w:eastAsia="Calibri"/>
        </w:rPr>
        <w:t xml:space="preserve">I. Declarar que la presente causa corresponde a la competencia originaria de esta Corte prevista en el art. 117 de la Constitución Nacional. II. Correr traslado de </w:t>
      </w:r>
      <w:r w:rsidRPr="00A43991">
        <w:rPr>
          <w:rFonts w:eastAsia="Calibri"/>
        </w:rPr>
        <w:lastRenderedPageBreak/>
        <w:t>la demanda interpuesta contra la Provincia de Buenos Aires, la que se sustanciará por la vía del proceso ordinario, por el plazo de sesenta días (arts. 338 y concordantes del Código Procesal Civil y Comercial de la Nación). Para su comunicación al señor Gobernador y al señor Fiscal de Estado, líbrese oficio al señor juez federal en turno de la ciudad de La Plata. III. Rechazar la medida cautelar requerida. Notifíquese Y comuníquese a la Procuración General de la Nación.</w:t>
      </w:r>
    </w:p>
    <w:p w:rsidR="00DD4528" w:rsidRDefault="00DD4528" w:rsidP="00DD4528">
      <w:pPr>
        <w:jc w:val="both"/>
      </w:pPr>
      <w:r>
        <w:t xml:space="preserve">Carlos Fernando </w:t>
      </w:r>
      <w:proofErr w:type="spellStart"/>
      <w:r>
        <w:t>Rosenkrantz</w:t>
      </w:r>
      <w:proofErr w:type="spellEnd"/>
      <w:r>
        <w:t xml:space="preserve"> – Elena I. </w:t>
      </w:r>
      <w:proofErr w:type="spellStart"/>
      <w:r>
        <w:t>Highton</w:t>
      </w:r>
      <w:proofErr w:type="spellEnd"/>
      <w:r>
        <w:t xml:space="preserve"> de Nolasco – Juan Carlos </w:t>
      </w:r>
      <w:proofErr w:type="spellStart"/>
      <w:r>
        <w:t>Maqueda</w:t>
      </w:r>
      <w:proofErr w:type="spellEnd"/>
      <w:r>
        <w:t xml:space="preserve"> – Ricardo Luis </w:t>
      </w:r>
      <w:proofErr w:type="spellStart"/>
      <w:r>
        <w:t>Lorenzetti</w:t>
      </w:r>
      <w:proofErr w:type="spellEnd"/>
      <w:r>
        <w:t xml:space="preserve"> – Horacio </w:t>
      </w:r>
      <w:proofErr w:type="spellStart"/>
      <w:r>
        <w:t>Rosatti</w:t>
      </w:r>
      <w:proofErr w:type="spellEnd"/>
      <w:r>
        <w:t>.</w:t>
      </w:r>
    </w:p>
    <w:p w:rsidR="00A43991" w:rsidRPr="00A43991" w:rsidRDefault="00A43991" w:rsidP="00A43991">
      <w:pPr>
        <w:spacing w:line="240" w:lineRule="auto"/>
        <w:jc w:val="both"/>
        <w:rPr>
          <w:rFonts w:eastAsia="Calibri"/>
          <w:b/>
          <w:sz w:val="18"/>
          <w:szCs w:val="18"/>
        </w:rPr>
      </w:pPr>
      <w:r w:rsidRPr="00A43991">
        <w:rPr>
          <w:rFonts w:eastAsia="Calibri"/>
          <w:sz w:val="18"/>
          <w:szCs w:val="18"/>
        </w:rPr>
        <w:t xml:space="preserve">Parte actora: </w:t>
      </w:r>
      <w:proofErr w:type="spellStart"/>
      <w:r w:rsidRPr="00A43991">
        <w:rPr>
          <w:rFonts w:eastAsia="Calibri"/>
          <w:b/>
          <w:sz w:val="18"/>
          <w:szCs w:val="18"/>
        </w:rPr>
        <w:t>Gador</w:t>
      </w:r>
      <w:proofErr w:type="spellEnd"/>
      <w:r w:rsidRPr="00A43991">
        <w:rPr>
          <w:rFonts w:eastAsia="Calibri"/>
          <w:b/>
          <w:sz w:val="18"/>
          <w:szCs w:val="18"/>
        </w:rPr>
        <w:t xml:space="preserve"> S.A</w:t>
      </w:r>
      <w:r w:rsidRPr="00A43991">
        <w:rPr>
          <w:rFonts w:eastAsia="Calibri"/>
          <w:sz w:val="18"/>
          <w:szCs w:val="18"/>
        </w:rPr>
        <w:t xml:space="preserve">., representada por la </w:t>
      </w:r>
      <w:r w:rsidRPr="00A43991">
        <w:rPr>
          <w:rFonts w:eastAsia="Calibri"/>
          <w:b/>
          <w:sz w:val="18"/>
          <w:szCs w:val="18"/>
        </w:rPr>
        <w:t>Dra</w:t>
      </w:r>
      <w:r w:rsidRPr="00A43991">
        <w:rPr>
          <w:rFonts w:eastAsia="Calibri"/>
          <w:sz w:val="18"/>
          <w:szCs w:val="18"/>
        </w:rPr>
        <w:t>.</w:t>
      </w:r>
      <w:r w:rsidRPr="00A43991">
        <w:rPr>
          <w:rFonts w:eastAsia="Calibri"/>
          <w:b/>
          <w:sz w:val="18"/>
          <w:szCs w:val="18"/>
        </w:rPr>
        <w:t xml:space="preserve"> Cynthia Paula </w:t>
      </w:r>
      <w:proofErr w:type="spellStart"/>
      <w:r w:rsidRPr="00A43991">
        <w:rPr>
          <w:rFonts w:eastAsia="Calibri"/>
          <w:b/>
          <w:sz w:val="18"/>
          <w:szCs w:val="18"/>
        </w:rPr>
        <w:t>Calligaro</w:t>
      </w:r>
      <w:proofErr w:type="spellEnd"/>
      <w:r w:rsidRPr="00A43991">
        <w:rPr>
          <w:rFonts w:eastAsia="Calibri"/>
          <w:b/>
          <w:sz w:val="18"/>
          <w:szCs w:val="18"/>
        </w:rPr>
        <w:t>.</w:t>
      </w:r>
    </w:p>
    <w:p w:rsidR="00A43991" w:rsidRPr="00A43991" w:rsidRDefault="00A43991" w:rsidP="00A43991">
      <w:pPr>
        <w:spacing w:line="240" w:lineRule="auto"/>
        <w:jc w:val="both"/>
        <w:rPr>
          <w:rFonts w:eastAsia="Calibri"/>
          <w:sz w:val="18"/>
          <w:szCs w:val="18"/>
        </w:rPr>
      </w:pPr>
      <w:r w:rsidRPr="00A43991">
        <w:rPr>
          <w:rFonts w:eastAsia="Calibri"/>
          <w:sz w:val="18"/>
          <w:szCs w:val="18"/>
        </w:rPr>
        <w:t xml:space="preserve">Parte demandada: </w:t>
      </w:r>
      <w:r w:rsidRPr="00A43991">
        <w:rPr>
          <w:rFonts w:eastAsia="Calibri"/>
          <w:b/>
          <w:sz w:val="18"/>
          <w:szCs w:val="18"/>
        </w:rPr>
        <w:t>Provincia de Buenos Aires,</w:t>
      </w:r>
      <w:r w:rsidRPr="00A43991">
        <w:rPr>
          <w:rFonts w:eastAsia="Calibri"/>
          <w:sz w:val="18"/>
          <w:szCs w:val="18"/>
        </w:rPr>
        <w:t xml:space="preserve"> representada por la </w:t>
      </w:r>
      <w:proofErr w:type="spellStart"/>
      <w:r w:rsidRPr="00A43991">
        <w:rPr>
          <w:rFonts w:eastAsia="Calibri"/>
          <w:b/>
          <w:sz w:val="18"/>
          <w:szCs w:val="18"/>
        </w:rPr>
        <w:t>Dra</w:t>
      </w:r>
      <w:r w:rsidRPr="00A43991">
        <w:rPr>
          <w:rFonts w:eastAsia="Calibri"/>
          <w:sz w:val="18"/>
          <w:szCs w:val="18"/>
        </w:rPr>
        <w:t>.</w:t>
      </w:r>
      <w:r w:rsidRPr="00A43991">
        <w:rPr>
          <w:rFonts w:eastAsia="Calibri"/>
          <w:b/>
          <w:sz w:val="18"/>
          <w:szCs w:val="18"/>
        </w:rPr>
        <w:t>María</w:t>
      </w:r>
      <w:proofErr w:type="spellEnd"/>
      <w:r w:rsidRPr="00A43991">
        <w:rPr>
          <w:rFonts w:eastAsia="Calibri"/>
          <w:b/>
          <w:sz w:val="18"/>
          <w:szCs w:val="18"/>
        </w:rPr>
        <w:t xml:space="preserve"> Florencia </w:t>
      </w:r>
      <w:proofErr w:type="spellStart"/>
      <w:r w:rsidRPr="00A43991">
        <w:rPr>
          <w:rFonts w:eastAsia="Calibri"/>
          <w:b/>
          <w:sz w:val="18"/>
          <w:szCs w:val="18"/>
        </w:rPr>
        <w:t>Quiñoa</w:t>
      </w:r>
      <w:proofErr w:type="spellEnd"/>
      <w:r w:rsidRPr="00A43991">
        <w:rPr>
          <w:rFonts w:eastAsia="Calibri"/>
          <w:sz w:val="18"/>
          <w:szCs w:val="18"/>
        </w:rPr>
        <w:t>.</w:t>
      </w:r>
    </w:p>
    <w:sectPr w:rsidR="00A43991" w:rsidRPr="00A43991" w:rsidSect="000314E8">
      <w:headerReference w:type="default" r:id="rId7"/>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0B2" w:rsidRDefault="001370B2">
      <w:r>
        <w:separator/>
      </w:r>
    </w:p>
  </w:endnote>
  <w:endnote w:type="continuationSeparator" w:id="0">
    <w:p w:rsidR="001370B2" w:rsidRDefault="00137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0B2" w:rsidRDefault="001370B2">
      <w:r>
        <w:separator/>
      </w:r>
    </w:p>
  </w:footnote>
  <w:footnote w:type="continuationSeparator" w:id="0">
    <w:p w:rsidR="001370B2" w:rsidRDefault="00137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991" w:rsidRPr="00A43991" w:rsidRDefault="00A43991" w:rsidP="00A43991">
    <w:pPr>
      <w:pStyle w:val="Encabezado"/>
      <w:ind w:left="3828"/>
      <w:jc w:val="both"/>
      <w:rPr>
        <w:rFonts w:ascii="Courier New" w:hAnsi="Courier New" w:cs="Courier New"/>
        <w:sz w:val="16"/>
      </w:rPr>
    </w:pPr>
    <w:r>
      <w:rPr>
        <w:rFonts w:ascii="Courier New" w:hAnsi="Courier New" w:cs="Courier New"/>
        <w:sz w:val="16"/>
      </w:rPr>
      <w:t>CSJ 513/2018</w:t>
    </w:r>
  </w:p>
  <w:p w:rsidR="00A43991" w:rsidRPr="00A43991" w:rsidRDefault="00A43991" w:rsidP="00A43991">
    <w:pPr>
      <w:pStyle w:val="Encabezado"/>
      <w:ind w:left="3828"/>
      <w:jc w:val="both"/>
      <w:rPr>
        <w:rFonts w:ascii="Courier New" w:hAnsi="Courier New" w:cs="Courier New"/>
        <w:sz w:val="16"/>
      </w:rPr>
    </w:pPr>
    <w:r w:rsidRPr="00A43991">
      <w:rPr>
        <w:rFonts w:ascii="Courier New" w:hAnsi="Courier New" w:cs="Courier New"/>
        <w:sz w:val="16"/>
      </w:rPr>
      <w:t>ORIGINARIO</w:t>
    </w:r>
  </w:p>
  <w:p w:rsidR="00A43991" w:rsidRPr="00A43991" w:rsidRDefault="00A43991" w:rsidP="00A43991">
    <w:pPr>
      <w:pStyle w:val="Encabezado"/>
      <w:ind w:left="3828"/>
      <w:jc w:val="both"/>
      <w:rPr>
        <w:rFonts w:ascii="Courier New" w:hAnsi="Courier New" w:cs="Courier New"/>
        <w:sz w:val="16"/>
      </w:rPr>
    </w:pPr>
    <w:proofErr w:type="spellStart"/>
    <w:r w:rsidRPr="00A43991">
      <w:rPr>
        <w:rFonts w:ascii="Courier New" w:hAnsi="Courier New" w:cs="Courier New"/>
        <w:sz w:val="16"/>
      </w:rPr>
      <w:t>Gador</w:t>
    </w:r>
    <w:proofErr w:type="spellEnd"/>
    <w:r w:rsidRPr="00A43991">
      <w:rPr>
        <w:rFonts w:ascii="Courier New" w:hAnsi="Courier New" w:cs="Courier New"/>
        <w:sz w:val="16"/>
      </w:rPr>
      <w:t xml:space="preserve"> S.A. c/ Buenos Aires, Provincia de s/ acción declarativa de certeza.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isplayBackgroundShape/>
  <w:proofState w:spelling="clean" w:grammar="clean"/>
  <w:defaultTabStop w:val="708"/>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3AF5"/>
    <w:rsid w:val="00017357"/>
    <w:rsid w:val="00023838"/>
    <w:rsid w:val="00027DCF"/>
    <w:rsid w:val="00027E8E"/>
    <w:rsid w:val="00027F74"/>
    <w:rsid w:val="000314E8"/>
    <w:rsid w:val="00031F88"/>
    <w:rsid w:val="00040F79"/>
    <w:rsid w:val="00041F14"/>
    <w:rsid w:val="00043FAF"/>
    <w:rsid w:val="00053CB8"/>
    <w:rsid w:val="0006567E"/>
    <w:rsid w:val="000665FB"/>
    <w:rsid w:val="00066D41"/>
    <w:rsid w:val="000764A0"/>
    <w:rsid w:val="00077E73"/>
    <w:rsid w:val="000800D8"/>
    <w:rsid w:val="00083E5F"/>
    <w:rsid w:val="0008622B"/>
    <w:rsid w:val="00092EB6"/>
    <w:rsid w:val="000A5AD5"/>
    <w:rsid w:val="000B0FBE"/>
    <w:rsid w:val="000B575D"/>
    <w:rsid w:val="000C52D9"/>
    <w:rsid w:val="000C639A"/>
    <w:rsid w:val="00105729"/>
    <w:rsid w:val="00116CFF"/>
    <w:rsid w:val="00133289"/>
    <w:rsid w:val="00134790"/>
    <w:rsid w:val="00136140"/>
    <w:rsid w:val="001370B2"/>
    <w:rsid w:val="00157397"/>
    <w:rsid w:val="00163770"/>
    <w:rsid w:val="00163B95"/>
    <w:rsid w:val="00171CFC"/>
    <w:rsid w:val="001762CB"/>
    <w:rsid w:val="00187B37"/>
    <w:rsid w:val="001A4F06"/>
    <w:rsid w:val="001C2677"/>
    <w:rsid w:val="001C4084"/>
    <w:rsid w:val="001D0B0E"/>
    <w:rsid w:val="001F6190"/>
    <w:rsid w:val="0021226D"/>
    <w:rsid w:val="00212F0D"/>
    <w:rsid w:val="00214568"/>
    <w:rsid w:val="00216821"/>
    <w:rsid w:val="00236438"/>
    <w:rsid w:val="00243A15"/>
    <w:rsid w:val="0027387A"/>
    <w:rsid w:val="002805F5"/>
    <w:rsid w:val="00296433"/>
    <w:rsid w:val="002C3463"/>
    <w:rsid w:val="002D4824"/>
    <w:rsid w:val="002F5C7A"/>
    <w:rsid w:val="00305E25"/>
    <w:rsid w:val="003119C1"/>
    <w:rsid w:val="00321077"/>
    <w:rsid w:val="00332132"/>
    <w:rsid w:val="00340437"/>
    <w:rsid w:val="00343CCB"/>
    <w:rsid w:val="0034620B"/>
    <w:rsid w:val="00355D14"/>
    <w:rsid w:val="00396D6C"/>
    <w:rsid w:val="003B7C7D"/>
    <w:rsid w:val="003C4DF9"/>
    <w:rsid w:val="003D734C"/>
    <w:rsid w:val="003D7F23"/>
    <w:rsid w:val="003F1B7D"/>
    <w:rsid w:val="0040336F"/>
    <w:rsid w:val="00404DB4"/>
    <w:rsid w:val="004130F0"/>
    <w:rsid w:val="00415E7C"/>
    <w:rsid w:val="00416C0F"/>
    <w:rsid w:val="00416DA0"/>
    <w:rsid w:val="00424A3D"/>
    <w:rsid w:val="00424A8E"/>
    <w:rsid w:val="004551A0"/>
    <w:rsid w:val="0049099A"/>
    <w:rsid w:val="004B48BD"/>
    <w:rsid w:val="004D79C1"/>
    <w:rsid w:val="004E2E2B"/>
    <w:rsid w:val="0051540B"/>
    <w:rsid w:val="005300DD"/>
    <w:rsid w:val="00542C72"/>
    <w:rsid w:val="00551F14"/>
    <w:rsid w:val="00552126"/>
    <w:rsid w:val="00552972"/>
    <w:rsid w:val="00576E40"/>
    <w:rsid w:val="005864AF"/>
    <w:rsid w:val="00590FC2"/>
    <w:rsid w:val="005B3F66"/>
    <w:rsid w:val="005B75F6"/>
    <w:rsid w:val="005C4B43"/>
    <w:rsid w:val="005C74F1"/>
    <w:rsid w:val="005D3C5A"/>
    <w:rsid w:val="005E08CE"/>
    <w:rsid w:val="005F1E7A"/>
    <w:rsid w:val="005F6FC5"/>
    <w:rsid w:val="005F7F4C"/>
    <w:rsid w:val="00600139"/>
    <w:rsid w:val="00613618"/>
    <w:rsid w:val="006137C6"/>
    <w:rsid w:val="00614A50"/>
    <w:rsid w:val="006460E3"/>
    <w:rsid w:val="00646AB1"/>
    <w:rsid w:val="00647DF1"/>
    <w:rsid w:val="00651AC7"/>
    <w:rsid w:val="00671F1B"/>
    <w:rsid w:val="0067771A"/>
    <w:rsid w:val="006831B7"/>
    <w:rsid w:val="00691BF6"/>
    <w:rsid w:val="006A2D68"/>
    <w:rsid w:val="006A4355"/>
    <w:rsid w:val="006A72CA"/>
    <w:rsid w:val="006A777B"/>
    <w:rsid w:val="006C2056"/>
    <w:rsid w:val="006C2BF4"/>
    <w:rsid w:val="006D3760"/>
    <w:rsid w:val="00700ADA"/>
    <w:rsid w:val="007228B3"/>
    <w:rsid w:val="007232C2"/>
    <w:rsid w:val="0074767B"/>
    <w:rsid w:val="00754C61"/>
    <w:rsid w:val="007759D6"/>
    <w:rsid w:val="0077788C"/>
    <w:rsid w:val="00781027"/>
    <w:rsid w:val="00783C8C"/>
    <w:rsid w:val="00784895"/>
    <w:rsid w:val="007A123E"/>
    <w:rsid w:val="007A45A3"/>
    <w:rsid w:val="007A4D5F"/>
    <w:rsid w:val="007C0FBC"/>
    <w:rsid w:val="007C107E"/>
    <w:rsid w:val="007C4871"/>
    <w:rsid w:val="007D0A6F"/>
    <w:rsid w:val="007F076C"/>
    <w:rsid w:val="007F2D4B"/>
    <w:rsid w:val="0081234D"/>
    <w:rsid w:val="0081697E"/>
    <w:rsid w:val="00821A55"/>
    <w:rsid w:val="00835F6B"/>
    <w:rsid w:val="00836698"/>
    <w:rsid w:val="008447EB"/>
    <w:rsid w:val="008456C6"/>
    <w:rsid w:val="0088070A"/>
    <w:rsid w:val="008E7D89"/>
    <w:rsid w:val="00901622"/>
    <w:rsid w:val="00905D1B"/>
    <w:rsid w:val="00915B2E"/>
    <w:rsid w:val="00920A0A"/>
    <w:rsid w:val="00956AEF"/>
    <w:rsid w:val="00964692"/>
    <w:rsid w:val="00965E31"/>
    <w:rsid w:val="00966819"/>
    <w:rsid w:val="00970A66"/>
    <w:rsid w:val="00975BC1"/>
    <w:rsid w:val="009812F2"/>
    <w:rsid w:val="00985440"/>
    <w:rsid w:val="009904C6"/>
    <w:rsid w:val="009945CD"/>
    <w:rsid w:val="00996414"/>
    <w:rsid w:val="009B370F"/>
    <w:rsid w:val="009B58F4"/>
    <w:rsid w:val="009B63D4"/>
    <w:rsid w:val="009B763D"/>
    <w:rsid w:val="009C0302"/>
    <w:rsid w:val="009C0417"/>
    <w:rsid w:val="009E01BE"/>
    <w:rsid w:val="009F12E8"/>
    <w:rsid w:val="009F3E11"/>
    <w:rsid w:val="009F69B9"/>
    <w:rsid w:val="00A23789"/>
    <w:rsid w:val="00A43991"/>
    <w:rsid w:val="00A537C3"/>
    <w:rsid w:val="00A55DC7"/>
    <w:rsid w:val="00A57874"/>
    <w:rsid w:val="00A6249E"/>
    <w:rsid w:val="00A807F5"/>
    <w:rsid w:val="00A91ACF"/>
    <w:rsid w:val="00AA01DD"/>
    <w:rsid w:val="00AA4A81"/>
    <w:rsid w:val="00AB735E"/>
    <w:rsid w:val="00AC473A"/>
    <w:rsid w:val="00AC5F29"/>
    <w:rsid w:val="00AD6477"/>
    <w:rsid w:val="00AF3626"/>
    <w:rsid w:val="00AF48B0"/>
    <w:rsid w:val="00B04315"/>
    <w:rsid w:val="00B06759"/>
    <w:rsid w:val="00B10A89"/>
    <w:rsid w:val="00B45214"/>
    <w:rsid w:val="00B5700F"/>
    <w:rsid w:val="00B64596"/>
    <w:rsid w:val="00B6795A"/>
    <w:rsid w:val="00B7015D"/>
    <w:rsid w:val="00B77BDC"/>
    <w:rsid w:val="00B80370"/>
    <w:rsid w:val="00B82287"/>
    <w:rsid w:val="00BB13F8"/>
    <w:rsid w:val="00BC2E71"/>
    <w:rsid w:val="00BD0D06"/>
    <w:rsid w:val="00BD1574"/>
    <w:rsid w:val="00BD1A8F"/>
    <w:rsid w:val="00C06E3B"/>
    <w:rsid w:val="00C133CB"/>
    <w:rsid w:val="00C27143"/>
    <w:rsid w:val="00C276E5"/>
    <w:rsid w:val="00C36B57"/>
    <w:rsid w:val="00C44BDB"/>
    <w:rsid w:val="00C45A05"/>
    <w:rsid w:val="00C52900"/>
    <w:rsid w:val="00C52DF8"/>
    <w:rsid w:val="00C63F7C"/>
    <w:rsid w:val="00C70537"/>
    <w:rsid w:val="00C82BBC"/>
    <w:rsid w:val="00C938BA"/>
    <w:rsid w:val="00CA54F5"/>
    <w:rsid w:val="00CC263C"/>
    <w:rsid w:val="00CC5061"/>
    <w:rsid w:val="00CD195D"/>
    <w:rsid w:val="00CD2C5A"/>
    <w:rsid w:val="00CD5254"/>
    <w:rsid w:val="00CE4EE3"/>
    <w:rsid w:val="00CF672C"/>
    <w:rsid w:val="00CF7B5C"/>
    <w:rsid w:val="00D01871"/>
    <w:rsid w:val="00D05C9D"/>
    <w:rsid w:val="00D117B5"/>
    <w:rsid w:val="00D17893"/>
    <w:rsid w:val="00D22BDC"/>
    <w:rsid w:val="00D371B1"/>
    <w:rsid w:val="00D4741C"/>
    <w:rsid w:val="00D55F25"/>
    <w:rsid w:val="00D650AA"/>
    <w:rsid w:val="00D66BD3"/>
    <w:rsid w:val="00D7150F"/>
    <w:rsid w:val="00D71729"/>
    <w:rsid w:val="00D765EC"/>
    <w:rsid w:val="00D94C33"/>
    <w:rsid w:val="00DA368E"/>
    <w:rsid w:val="00DA6416"/>
    <w:rsid w:val="00DD25A9"/>
    <w:rsid w:val="00DD4528"/>
    <w:rsid w:val="00DD5A7A"/>
    <w:rsid w:val="00DF2156"/>
    <w:rsid w:val="00DF2E33"/>
    <w:rsid w:val="00DF3E2D"/>
    <w:rsid w:val="00E13DAF"/>
    <w:rsid w:val="00E341C8"/>
    <w:rsid w:val="00E45D5B"/>
    <w:rsid w:val="00E46DF8"/>
    <w:rsid w:val="00E525E1"/>
    <w:rsid w:val="00E81B95"/>
    <w:rsid w:val="00E92282"/>
    <w:rsid w:val="00EB68E8"/>
    <w:rsid w:val="00EC4D5D"/>
    <w:rsid w:val="00ED347F"/>
    <w:rsid w:val="00ED5785"/>
    <w:rsid w:val="00EE52A3"/>
    <w:rsid w:val="00EE6AE5"/>
    <w:rsid w:val="00EF76EA"/>
    <w:rsid w:val="00F1040D"/>
    <w:rsid w:val="00F10F98"/>
    <w:rsid w:val="00F1141A"/>
    <w:rsid w:val="00F13921"/>
    <w:rsid w:val="00F14816"/>
    <w:rsid w:val="00F4130A"/>
    <w:rsid w:val="00F67033"/>
    <w:rsid w:val="00F96E22"/>
    <w:rsid w:val="00FA21D5"/>
    <w:rsid w:val="00FA4E97"/>
    <w:rsid w:val="00FC3E45"/>
    <w:rsid w:val="00FD290B"/>
    <w:rsid w:val="00FE2753"/>
    <w:rsid w:val="00FE6081"/>
    <w:rsid w:val="00FF156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350E20C-F32A-4198-BBA3-67C9E964E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2050</Words>
  <Characters>11277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13301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4</cp:revision>
  <cp:lastPrinted>2005-12-20T13:21:00Z</cp:lastPrinted>
  <dcterms:created xsi:type="dcterms:W3CDTF">2021-05-13T22:44:00Z</dcterms:created>
  <dcterms:modified xsi:type="dcterms:W3CDTF">2021-05-13T22:54:00Z</dcterms:modified>
</cp:coreProperties>
</file>