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5A3" w:rsidRDefault="007A45A3" w:rsidP="007A45A3">
      <w:pPr>
        <w:spacing w:line="360" w:lineRule="auto"/>
        <w:ind w:firstLine="1418"/>
        <w:jc w:val="both"/>
      </w:pPr>
      <w:r>
        <w:t xml:space="preserve">Buenos Aires, </w:t>
      </w:r>
      <w:r w:rsidR="00600139">
        <w:t>3</w:t>
      </w:r>
      <w:r>
        <w:t xml:space="preserve"> de </w:t>
      </w:r>
      <w:r w:rsidR="00600139">
        <w:t>septiembre</w:t>
      </w:r>
      <w:r>
        <w:t xml:space="preserve"> de 2019.</w:t>
      </w:r>
    </w:p>
    <w:p w:rsidR="00506080" w:rsidRDefault="00506080" w:rsidP="00506080">
      <w:pPr>
        <w:spacing w:line="360" w:lineRule="auto"/>
        <w:jc w:val="both"/>
      </w:pPr>
      <w:r>
        <w:tab/>
        <w:t xml:space="preserve">Vistos los autos: “Recurso de hecho deducido por la demandada en la causa </w:t>
      </w:r>
      <w:proofErr w:type="spellStart"/>
      <w:r>
        <w:t>Aiello</w:t>
      </w:r>
      <w:proofErr w:type="spellEnd"/>
      <w:r>
        <w:t>, Roberto Alfredo c/ Galeno ART S.A. s/ accidente – ley especial”, para decidir sobre su procedencia.</w:t>
      </w:r>
    </w:p>
    <w:p w:rsidR="00506080" w:rsidRDefault="00506080" w:rsidP="00506080">
      <w:pPr>
        <w:spacing w:line="360" w:lineRule="auto"/>
        <w:jc w:val="both"/>
      </w:pPr>
      <w:r>
        <w:tab/>
        <w:t xml:space="preserve">Considerando: </w:t>
      </w:r>
    </w:p>
    <w:p w:rsidR="00506080" w:rsidRDefault="00506080" w:rsidP="00506080">
      <w:pPr>
        <w:spacing w:line="360" w:lineRule="auto"/>
        <w:jc w:val="both"/>
      </w:pPr>
      <w:r>
        <w:tab/>
      </w:r>
      <w:r>
        <w:tab/>
        <w:t xml:space="preserve">1°) Que la Sala X de la Cámara Nacional de Apelaciones del Trabajo, en lo que interesa, confirmó la sentencia de la instancia anterior que había fijado la reparación de las consecuencias de un accidente laboral, ocurrido el 10 de febrero de 2013, mediante la aplicación de la directiva establecida en la resolución 387E/2016 del Ministerio de Trabajo Empleo y Seguridad Social – Secretaría de Seguridad Social al piso mínimo fijado por el decreto 1694/09. Al efecto, el magistrado de origen había juzgado que el importe obtenido de ese modo era más favorable al accidentado que el resultante de la aplicación lisa y llana de la fórmula prevista en el art. 14, inc. 2, punto a) de la ley 24.557. </w:t>
      </w:r>
    </w:p>
    <w:p w:rsidR="00506080" w:rsidRDefault="00506080" w:rsidP="00506080">
      <w:pPr>
        <w:spacing w:line="360" w:lineRule="auto"/>
        <w:jc w:val="both"/>
      </w:pPr>
      <w:r>
        <w:tab/>
      </w:r>
      <w:r>
        <w:tab/>
        <w:t>2°) Que contra tal decisión la Aseguradora de Riesgos del Trabajo interpuso el recurso extraordinario federal (fs. 300/313 de los autos principales a los que se aludirá en lo sucesivo) que, al ser denegado, dio lugar a la presente queja.</w:t>
      </w:r>
    </w:p>
    <w:p w:rsidR="00506080" w:rsidRDefault="00506080" w:rsidP="00506080">
      <w:pPr>
        <w:spacing w:line="360" w:lineRule="auto"/>
        <w:jc w:val="both"/>
      </w:pPr>
      <w:r>
        <w:tab/>
      </w:r>
      <w:r>
        <w:tab/>
        <w:t>La apelante atribuye arbitrariedad al fallo por la utilización de la resolución 387E/2016, vigente al momento de la sentencia de primera instancia, en lugar de la 34/2013 correspondiente a la fecha del infortunio. Afirma, al respecto, que la cámara ha pasado por alto la doctrina del Tribunal fijada en la causa “Espósito” (Fallos: 339:781). Sostiene, además, que lo decidido traduce una duplicación de actualizaciones más la adición de intereses y que afecta el régimen de alícuotas y el financiamiento del sistema instaurado por la ley 24.557.</w:t>
      </w:r>
    </w:p>
    <w:p w:rsidR="00506080" w:rsidRDefault="00506080" w:rsidP="00506080">
      <w:pPr>
        <w:spacing w:line="360" w:lineRule="auto"/>
        <w:jc w:val="both"/>
      </w:pPr>
      <w:r>
        <w:lastRenderedPageBreak/>
        <w:tab/>
      </w:r>
      <w:r>
        <w:tab/>
        <w:t>3°) Que la impugnación vinculada con la determinación del monto de la reparación resulta atendible. Ello es así pues, aunque las objeciones planteadas se vinculan con cuestiones de hecho y derecho común, ajenas —como regla y por su naturaleza— al remedio del art. 14 de la ley 48, cabe hacer excepción a ese principio y admitir la apelación en razón de que la sentencia recurrida se aparta de la solución normativa prevista para el caso (Fallos: 303:436; 312:888 y 323:494, entre muchos otros).</w:t>
      </w:r>
    </w:p>
    <w:p w:rsidR="00506080" w:rsidRDefault="00506080" w:rsidP="00506080">
      <w:pPr>
        <w:spacing w:line="360" w:lineRule="auto"/>
        <w:jc w:val="both"/>
      </w:pPr>
      <w:r>
        <w:tab/>
      </w:r>
      <w:r>
        <w:tab/>
        <w:t xml:space="preserve">4°) Que en efecto, como subrayó el Tribunal en el precedente “Espósito” ya mencionado, la intención del legislador, plasmada en la ley 26.773, fue la de autorizar un reajuste semestral de los pisos mínimos fijados en el decreto 1694/2009 mediante la aplicación del índice </w:t>
      </w:r>
      <w:proofErr w:type="spellStart"/>
      <w:r>
        <w:t>RIPTE</w:t>
      </w:r>
      <w:proofErr w:type="spellEnd"/>
      <w:r>
        <w:t xml:space="preserve"> para las contingencias cuya primera manifestación </w:t>
      </w:r>
      <w:proofErr w:type="spellStart"/>
      <w:r>
        <w:t>invalidante</w:t>
      </w:r>
      <w:proofErr w:type="spellEnd"/>
      <w:r>
        <w:t xml:space="preserve"> se produjera a partir de la sanción de la norma. Con tal fin, la autoridad de aplicación dicta resoluciones y notas periódicas que fijan los nuevos valores y el lapso temporal de vigencia para las contingencias previstas. </w:t>
      </w:r>
    </w:p>
    <w:p w:rsidR="00506080" w:rsidRDefault="00506080" w:rsidP="00506080">
      <w:pPr>
        <w:spacing w:line="360" w:lineRule="auto"/>
        <w:jc w:val="both"/>
      </w:pPr>
      <w:r>
        <w:tab/>
      </w:r>
      <w:r>
        <w:tab/>
        <w:t xml:space="preserve">5°) Que, en función de ello, la resolución aplicable para el cálculo de la indemnización no puede ser otra que la que comprende el período en que se produjo el infortunio. En el caso no se discute que ese hecho tuvo lugar el 10 de febrero de 2013 (fs. 7 vta. y 263) por lo que, como se alega, la resolución que corresponde acatar es la 34/2013 del Ministerio de Trabajo Empleo y Seguridad Social – Secretaría de Seguridad Social, que establece los montos para los siniestros acaecidos entre el 26 de octubre de 2012 y el 28 de febrero de 2013 (art. 4, inc. a). </w:t>
      </w:r>
    </w:p>
    <w:p w:rsidR="00506080" w:rsidRDefault="00506080" w:rsidP="00506080">
      <w:pPr>
        <w:spacing w:line="360" w:lineRule="auto"/>
        <w:jc w:val="both"/>
      </w:pPr>
      <w:r>
        <w:tab/>
      </w:r>
      <w:r>
        <w:tab/>
        <w:t xml:space="preserve">En tales condiciones, la decisión del </w:t>
      </w:r>
      <w:r w:rsidRPr="00E9667A">
        <w:rPr>
          <w:i/>
        </w:rPr>
        <w:t>a quo</w:t>
      </w:r>
      <w:r>
        <w:t xml:space="preserve">, al utilizar una normativa prevista para contingencias posteriores aparece, pues, desprovista de fundamento normativo (Fallos: 273:418) por lo que corresponde la descalificación del fallo en </w:t>
      </w:r>
      <w:r>
        <w:lastRenderedPageBreak/>
        <w:t>este aspecto con arreglo a la conocida doctrina en materia de arbitrariedad.</w:t>
      </w:r>
    </w:p>
    <w:p w:rsidR="00506080" w:rsidRDefault="00506080" w:rsidP="00506080">
      <w:pPr>
        <w:spacing w:line="360" w:lineRule="auto"/>
        <w:jc w:val="both"/>
      </w:pPr>
      <w:r>
        <w:tab/>
      </w:r>
      <w:r>
        <w:tab/>
        <w:t xml:space="preserve">6°) Que, en relación con las restantes cuestiones planteadas, el recurso extraordinario es inadmisible (art. 280 del Código Procesal Civil y Comercial de la Nación). </w:t>
      </w:r>
    </w:p>
    <w:p w:rsidR="00506080" w:rsidRDefault="00506080" w:rsidP="00506080">
      <w:pPr>
        <w:spacing w:line="360" w:lineRule="auto"/>
        <w:jc w:val="both"/>
      </w:pPr>
      <w:r>
        <w:tab/>
        <w:t>Por ello, oído el señor Procurador Fiscal, se hace lugar a la queja, se declara procedente el recurso extraordinario y se deja sin efecto la sentencia apelada, con el alcance indicado. Costas por su orden en atención a la índole de la cuestión debatida. Reintégrese el depósito obrante a fs. 30. Agréguese la queja al principal y vuelvan los autos al tribunal de origen para que, por quien corresponda, se dicte un nuevo pronunciamiento con arreglo al presente. Notifíquese y, oportunamente, remítase.</w:t>
      </w:r>
    </w:p>
    <w:p w:rsidR="00506080" w:rsidRDefault="00506080" w:rsidP="00506080">
      <w:pPr>
        <w:spacing w:line="360" w:lineRule="auto"/>
        <w:jc w:val="both"/>
      </w:pPr>
      <w:r w:rsidRPr="00506080">
        <w:t>Carlos Fernando Rosenkrantz – Elena I. Highton de Nolasco - Juan Carlos Maqueda - Ricardo Luis Lorenzetti - Horacio Rosatti</w:t>
      </w:r>
      <w:r>
        <w:t xml:space="preserve"> </w:t>
      </w:r>
      <w:r w:rsidRPr="00506080">
        <w:t>(en disidencia).</w:t>
      </w:r>
    </w:p>
    <w:p w:rsidR="00506080" w:rsidRPr="00506080" w:rsidRDefault="00506080" w:rsidP="00506080">
      <w:pPr>
        <w:spacing w:line="360" w:lineRule="auto"/>
        <w:jc w:val="center"/>
      </w:pPr>
      <w:r w:rsidRPr="00506080">
        <w:t xml:space="preserve">Disidencia </w:t>
      </w:r>
      <w:r>
        <w:t>d</w:t>
      </w:r>
      <w:r w:rsidRPr="00506080">
        <w:t>el Señor Ministro Doctor Don Horacio Rosatti</w:t>
      </w:r>
    </w:p>
    <w:p w:rsidR="00506080" w:rsidRDefault="00506080" w:rsidP="00506080">
      <w:pPr>
        <w:spacing w:line="360" w:lineRule="auto"/>
        <w:jc w:val="both"/>
      </w:pPr>
      <w:r>
        <w:tab/>
        <w:t>Considerando:</w:t>
      </w:r>
    </w:p>
    <w:p w:rsidR="00506080" w:rsidRDefault="00506080" w:rsidP="00506080">
      <w:pPr>
        <w:spacing w:line="360" w:lineRule="auto"/>
        <w:jc w:val="both"/>
      </w:pPr>
      <w:r>
        <w:tab/>
      </w:r>
      <w:r>
        <w:tab/>
        <w:t>Que las cuestiones que se suscitan en la presente causa encuentran adecuada respuesta en el dictamen del señor Procurador Fiscal a cuyas conclusiones, en lo pertinente, corresponde remitir por razón de brevedad.</w:t>
      </w:r>
    </w:p>
    <w:p w:rsidR="00506080" w:rsidRDefault="00506080" w:rsidP="00506080">
      <w:pPr>
        <w:spacing w:line="360" w:lineRule="auto"/>
        <w:jc w:val="both"/>
      </w:pPr>
      <w:r>
        <w:tab/>
        <w:t xml:space="preserve">Por ello, se desestima la presentación directa. </w:t>
      </w:r>
      <w:proofErr w:type="spellStart"/>
      <w:r>
        <w:t>Declárase</w:t>
      </w:r>
      <w:proofErr w:type="spellEnd"/>
      <w:r>
        <w:t xml:space="preserve"> perdido el depósito de fs. 30. Notifíquese, devuélvanse los autos principales y archívese.</w:t>
      </w:r>
    </w:p>
    <w:p w:rsidR="00506080" w:rsidRDefault="00506080" w:rsidP="00506080">
      <w:pPr>
        <w:spacing w:line="360" w:lineRule="auto"/>
        <w:jc w:val="both"/>
      </w:pPr>
      <w:r w:rsidRPr="00506080">
        <w:t>Horacio Rosatti.</w:t>
      </w:r>
    </w:p>
    <w:p w:rsidR="00506080" w:rsidRPr="00DF61A6" w:rsidRDefault="00506080" w:rsidP="00506080">
      <w:pPr>
        <w:spacing w:line="240" w:lineRule="auto"/>
        <w:jc w:val="both"/>
        <w:rPr>
          <w:b/>
          <w:sz w:val="18"/>
          <w:szCs w:val="18"/>
        </w:rPr>
      </w:pPr>
      <w:r w:rsidRPr="00DF61A6">
        <w:rPr>
          <w:sz w:val="18"/>
          <w:szCs w:val="18"/>
        </w:rPr>
        <w:t xml:space="preserve">Recurso de queja interpuesto por </w:t>
      </w:r>
      <w:r w:rsidRPr="00DF61A6">
        <w:rPr>
          <w:b/>
          <w:sz w:val="18"/>
          <w:szCs w:val="18"/>
        </w:rPr>
        <w:t>Galeno, Aseguradora de Riesgos del Trabajo S.A., demandada en autos,</w:t>
      </w:r>
      <w:r w:rsidRPr="00DF61A6">
        <w:rPr>
          <w:sz w:val="18"/>
          <w:szCs w:val="18"/>
        </w:rPr>
        <w:t xml:space="preserve"> representada por la </w:t>
      </w:r>
      <w:r>
        <w:rPr>
          <w:b/>
          <w:sz w:val="18"/>
          <w:szCs w:val="18"/>
        </w:rPr>
        <w:t xml:space="preserve">Dra. Mirna Isabel </w:t>
      </w:r>
      <w:proofErr w:type="spellStart"/>
      <w:r>
        <w:rPr>
          <w:b/>
          <w:sz w:val="18"/>
          <w:szCs w:val="18"/>
        </w:rPr>
        <w:t>Kaploea</w:t>
      </w:r>
      <w:r w:rsidRPr="00DF61A6">
        <w:rPr>
          <w:b/>
          <w:sz w:val="18"/>
          <w:szCs w:val="18"/>
        </w:rPr>
        <w:t>n</w:t>
      </w:r>
      <w:proofErr w:type="spellEnd"/>
      <w:r w:rsidRPr="00DF61A6">
        <w:rPr>
          <w:b/>
          <w:sz w:val="18"/>
          <w:szCs w:val="18"/>
        </w:rPr>
        <w:t>.</w:t>
      </w:r>
    </w:p>
    <w:p w:rsidR="00506080" w:rsidRPr="00DF61A6" w:rsidRDefault="00506080" w:rsidP="00506080">
      <w:pPr>
        <w:spacing w:line="240" w:lineRule="auto"/>
        <w:jc w:val="both"/>
        <w:rPr>
          <w:b/>
          <w:sz w:val="18"/>
          <w:szCs w:val="18"/>
        </w:rPr>
      </w:pPr>
      <w:r w:rsidRPr="00DF61A6">
        <w:rPr>
          <w:sz w:val="18"/>
          <w:szCs w:val="18"/>
        </w:rPr>
        <w:lastRenderedPageBreak/>
        <w:t xml:space="preserve">Tribunal de origen: </w:t>
      </w:r>
      <w:r w:rsidRPr="00DF61A6">
        <w:rPr>
          <w:b/>
          <w:sz w:val="18"/>
          <w:szCs w:val="18"/>
        </w:rPr>
        <w:t>Sala X de la Cámara Nacional de Apelaciones del Trabajo.</w:t>
      </w:r>
    </w:p>
    <w:p w:rsidR="00FF1566" w:rsidRDefault="00506080" w:rsidP="00506080">
      <w:pPr>
        <w:spacing w:line="240" w:lineRule="auto"/>
        <w:jc w:val="both"/>
      </w:pPr>
      <w:r w:rsidRPr="00DF61A6">
        <w:rPr>
          <w:sz w:val="18"/>
          <w:szCs w:val="18"/>
        </w:rPr>
        <w:t xml:space="preserve">Tribunal que intervino con anterioridad: </w:t>
      </w:r>
      <w:r w:rsidRPr="00DF61A6">
        <w:rPr>
          <w:b/>
          <w:sz w:val="18"/>
          <w:szCs w:val="18"/>
        </w:rPr>
        <w:t>Juzgado Nacional de Pr</w:t>
      </w:r>
      <w:r>
        <w:rPr>
          <w:b/>
          <w:sz w:val="18"/>
          <w:szCs w:val="18"/>
        </w:rPr>
        <w:t>imera Instancia del Trabajo n° 3</w:t>
      </w:r>
      <w:r w:rsidRPr="00DF61A6">
        <w:rPr>
          <w:b/>
          <w:sz w:val="18"/>
          <w:szCs w:val="18"/>
        </w:rPr>
        <w:t>.</w:t>
      </w:r>
    </w:p>
    <w:sectPr w:rsidR="00FF1566" w:rsidSect="000314E8">
      <w:headerReference w:type="default" r:id="rId7"/>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1F2" w:rsidRDefault="005001F2">
      <w:r>
        <w:separator/>
      </w:r>
    </w:p>
  </w:endnote>
  <w:endnote w:type="continuationSeparator" w:id="0">
    <w:p w:rsidR="005001F2" w:rsidRDefault="005001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1F2" w:rsidRDefault="005001F2">
      <w:r>
        <w:separator/>
      </w:r>
    </w:p>
  </w:footnote>
  <w:footnote w:type="continuationSeparator" w:id="0">
    <w:p w:rsidR="005001F2" w:rsidRDefault="005001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F00" w:rsidRPr="00A84F00" w:rsidRDefault="00A84F00" w:rsidP="00A84F00">
    <w:pPr>
      <w:pStyle w:val="Encabezado"/>
      <w:ind w:left="3828"/>
      <w:jc w:val="both"/>
      <w:rPr>
        <w:rFonts w:ascii="Courier New" w:hAnsi="Courier New" w:cs="Courier New"/>
        <w:sz w:val="16"/>
      </w:rPr>
    </w:pPr>
    <w:proofErr w:type="spellStart"/>
    <w:r w:rsidRPr="00A84F00">
      <w:rPr>
        <w:rFonts w:ascii="Courier New" w:hAnsi="Courier New" w:cs="Courier New"/>
        <w:sz w:val="16"/>
      </w:rPr>
      <w:t>CNT</w:t>
    </w:r>
    <w:proofErr w:type="spellEnd"/>
    <w:r w:rsidRPr="00A84F00">
      <w:rPr>
        <w:rFonts w:ascii="Courier New" w:hAnsi="Courier New" w:cs="Courier New"/>
        <w:sz w:val="16"/>
      </w:rPr>
      <w:t xml:space="preserve"> 32325/2014/1/RH1</w:t>
    </w:r>
  </w:p>
  <w:p w:rsidR="00835F6B" w:rsidRPr="00A807F5" w:rsidRDefault="00A84F00" w:rsidP="00A84F00">
    <w:pPr>
      <w:pStyle w:val="Encabezado"/>
      <w:ind w:left="3828"/>
      <w:jc w:val="both"/>
      <w:rPr>
        <w:rFonts w:ascii="Courier New" w:hAnsi="Courier New" w:cs="Courier New"/>
        <w:sz w:val="16"/>
      </w:rPr>
    </w:pPr>
    <w:proofErr w:type="spellStart"/>
    <w:r w:rsidRPr="00A84F00">
      <w:rPr>
        <w:rFonts w:ascii="Courier New" w:hAnsi="Courier New" w:cs="Courier New"/>
        <w:sz w:val="16"/>
      </w:rPr>
      <w:t>Aiello</w:t>
    </w:r>
    <w:proofErr w:type="spellEnd"/>
    <w:r w:rsidRPr="00A84F00">
      <w:rPr>
        <w:rFonts w:ascii="Courier New" w:hAnsi="Courier New" w:cs="Courier New"/>
        <w:sz w:val="16"/>
      </w:rPr>
      <w:t>, Roberto Alfredo c/ Galeno ART S.A. s/ accidente - ley especial.</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104450">
      <o:colormenu v:ext="edit" fillcolor="none" strokecolor="none [1]" shadowcolor="none [2]"/>
    </o:shapedefaults>
  </w:hdrShapeDefaults>
  <w:footnotePr>
    <w:pos w:val="beneathText"/>
    <w:footnote w:id="-1"/>
    <w:footnote w:id="0"/>
  </w:footnotePr>
  <w:endnotePr>
    <w:endnote w:id="-1"/>
    <w:endnote w:id="0"/>
  </w:endnotePr>
  <w:compat/>
  <w:rsids>
    <w:rsidRoot w:val="002C3463"/>
    <w:rsid w:val="00017357"/>
    <w:rsid w:val="00027E8E"/>
    <w:rsid w:val="00027F74"/>
    <w:rsid w:val="000314E8"/>
    <w:rsid w:val="00053CB8"/>
    <w:rsid w:val="000665FB"/>
    <w:rsid w:val="000764A0"/>
    <w:rsid w:val="000800D8"/>
    <w:rsid w:val="00083E5F"/>
    <w:rsid w:val="0008622B"/>
    <w:rsid w:val="000B0FBE"/>
    <w:rsid w:val="000C639A"/>
    <w:rsid w:val="00133289"/>
    <w:rsid w:val="00157397"/>
    <w:rsid w:val="00171CFC"/>
    <w:rsid w:val="00187B37"/>
    <w:rsid w:val="0021226D"/>
    <w:rsid w:val="00212F0D"/>
    <w:rsid w:val="00214568"/>
    <w:rsid w:val="00216821"/>
    <w:rsid w:val="00236438"/>
    <w:rsid w:val="002805F5"/>
    <w:rsid w:val="002C3463"/>
    <w:rsid w:val="002F5C7A"/>
    <w:rsid w:val="00305E25"/>
    <w:rsid w:val="003119C1"/>
    <w:rsid w:val="00343CCB"/>
    <w:rsid w:val="0034620B"/>
    <w:rsid w:val="00355D14"/>
    <w:rsid w:val="00370F25"/>
    <w:rsid w:val="003C4DF9"/>
    <w:rsid w:val="003D734C"/>
    <w:rsid w:val="003F1B7D"/>
    <w:rsid w:val="00404DB4"/>
    <w:rsid w:val="004130F0"/>
    <w:rsid w:val="00415E7C"/>
    <w:rsid w:val="00424A3D"/>
    <w:rsid w:val="00424A8E"/>
    <w:rsid w:val="0049099A"/>
    <w:rsid w:val="004B48BD"/>
    <w:rsid w:val="004D79C1"/>
    <w:rsid w:val="005001F2"/>
    <w:rsid w:val="00506080"/>
    <w:rsid w:val="0051540B"/>
    <w:rsid w:val="00551F14"/>
    <w:rsid w:val="00552126"/>
    <w:rsid w:val="00576E40"/>
    <w:rsid w:val="005864AF"/>
    <w:rsid w:val="005B3F66"/>
    <w:rsid w:val="005C4B43"/>
    <w:rsid w:val="005C74F1"/>
    <w:rsid w:val="005D3C5A"/>
    <w:rsid w:val="005F6FC5"/>
    <w:rsid w:val="005F7F4C"/>
    <w:rsid w:val="00600139"/>
    <w:rsid w:val="006137C6"/>
    <w:rsid w:val="00614A50"/>
    <w:rsid w:val="00647DF1"/>
    <w:rsid w:val="00671F1B"/>
    <w:rsid w:val="006A2D68"/>
    <w:rsid w:val="006A4355"/>
    <w:rsid w:val="006A72CA"/>
    <w:rsid w:val="006A777B"/>
    <w:rsid w:val="006C2056"/>
    <w:rsid w:val="006C2BF4"/>
    <w:rsid w:val="00700ADA"/>
    <w:rsid w:val="007228B3"/>
    <w:rsid w:val="0074767B"/>
    <w:rsid w:val="007759D6"/>
    <w:rsid w:val="0077788C"/>
    <w:rsid w:val="00781027"/>
    <w:rsid w:val="00783C8C"/>
    <w:rsid w:val="00784895"/>
    <w:rsid w:val="007A45A3"/>
    <w:rsid w:val="007A4D5F"/>
    <w:rsid w:val="007C0FBC"/>
    <w:rsid w:val="007C107E"/>
    <w:rsid w:val="007C4871"/>
    <w:rsid w:val="0081234D"/>
    <w:rsid w:val="0081697E"/>
    <w:rsid w:val="00835F6B"/>
    <w:rsid w:val="00836698"/>
    <w:rsid w:val="008456C6"/>
    <w:rsid w:val="00920A0A"/>
    <w:rsid w:val="00964692"/>
    <w:rsid w:val="00966819"/>
    <w:rsid w:val="00970A66"/>
    <w:rsid w:val="009812F2"/>
    <w:rsid w:val="00985440"/>
    <w:rsid w:val="009904C6"/>
    <w:rsid w:val="009945CD"/>
    <w:rsid w:val="009B370F"/>
    <w:rsid w:val="009B63D4"/>
    <w:rsid w:val="009F12E8"/>
    <w:rsid w:val="009F69B9"/>
    <w:rsid w:val="00A23789"/>
    <w:rsid w:val="00A57874"/>
    <w:rsid w:val="00A6249E"/>
    <w:rsid w:val="00A807F5"/>
    <w:rsid w:val="00A84F00"/>
    <w:rsid w:val="00A91ACF"/>
    <w:rsid w:val="00AA01DD"/>
    <w:rsid w:val="00AA4A81"/>
    <w:rsid w:val="00AB735E"/>
    <w:rsid w:val="00AC473A"/>
    <w:rsid w:val="00AD6477"/>
    <w:rsid w:val="00AF3626"/>
    <w:rsid w:val="00AF48B0"/>
    <w:rsid w:val="00B06759"/>
    <w:rsid w:val="00B10A89"/>
    <w:rsid w:val="00B5700F"/>
    <w:rsid w:val="00B6795A"/>
    <w:rsid w:val="00B77BDC"/>
    <w:rsid w:val="00B80370"/>
    <w:rsid w:val="00BC2E71"/>
    <w:rsid w:val="00BD1574"/>
    <w:rsid w:val="00BD1A8F"/>
    <w:rsid w:val="00C06E3B"/>
    <w:rsid w:val="00C133CB"/>
    <w:rsid w:val="00C27143"/>
    <w:rsid w:val="00C276E5"/>
    <w:rsid w:val="00C36B57"/>
    <w:rsid w:val="00C44BDB"/>
    <w:rsid w:val="00C52900"/>
    <w:rsid w:val="00C63F7C"/>
    <w:rsid w:val="00C70537"/>
    <w:rsid w:val="00C82BBC"/>
    <w:rsid w:val="00C938BA"/>
    <w:rsid w:val="00CA54F5"/>
    <w:rsid w:val="00CC263C"/>
    <w:rsid w:val="00CD2C5A"/>
    <w:rsid w:val="00CD5254"/>
    <w:rsid w:val="00CF672C"/>
    <w:rsid w:val="00CF7B5C"/>
    <w:rsid w:val="00D117B5"/>
    <w:rsid w:val="00D17893"/>
    <w:rsid w:val="00D22BDC"/>
    <w:rsid w:val="00D4741C"/>
    <w:rsid w:val="00D55F25"/>
    <w:rsid w:val="00D650AA"/>
    <w:rsid w:val="00D7150F"/>
    <w:rsid w:val="00D71729"/>
    <w:rsid w:val="00D765EC"/>
    <w:rsid w:val="00D94C33"/>
    <w:rsid w:val="00DF2156"/>
    <w:rsid w:val="00DF2E33"/>
    <w:rsid w:val="00E341C8"/>
    <w:rsid w:val="00E45D5B"/>
    <w:rsid w:val="00E46DF8"/>
    <w:rsid w:val="00E525E1"/>
    <w:rsid w:val="00EB68E8"/>
    <w:rsid w:val="00EC4D5D"/>
    <w:rsid w:val="00ED347F"/>
    <w:rsid w:val="00EE52A3"/>
    <w:rsid w:val="00EE6AE5"/>
    <w:rsid w:val="00EF76EA"/>
    <w:rsid w:val="00F1040D"/>
    <w:rsid w:val="00F10F98"/>
    <w:rsid w:val="00F1141A"/>
    <w:rsid w:val="00F13921"/>
    <w:rsid w:val="00F67033"/>
    <w:rsid w:val="00F96E22"/>
    <w:rsid w:val="00FA21D5"/>
    <w:rsid w:val="00FA4E97"/>
    <w:rsid w:val="00FC3E45"/>
    <w:rsid w:val="00FD290B"/>
    <w:rsid w:val="00FE2753"/>
    <w:rsid w:val="00FF1566"/>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808</Words>
  <Characters>4446</Characters>
  <Application>Microsoft Office Word</Application>
  <DocSecurity>0</DocSecurity>
  <Lines>37</Lines>
  <Paragraphs>10</Paragraphs>
  <ScaleCrop>false</ScaleCrop>
  <Company/>
  <LinksUpToDate>false</LinksUpToDate>
  <CharactersWithSpaces>5244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3</cp:revision>
  <cp:lastPrinted>2005-12-20T13:21:00Z</cp:lastPrinted>
  <dcterms:created xsi:type="dcterms:W3CDTF">2019-09-04T12:30:00Z</dcterms:created>
  <dcterms:modified xsi:type="dcterms:W3CDTF">2019-09-04T12:32:00Z</dcterms:modified>
</cp:coreProperties>
</file>